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>成都市泡桐树小学（天府校区）</w: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>2017-2018学年上期教师家长培训业务外包报价单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单位名称（加盖鲜章）：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单位地址：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授权代表：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联系电话：</w:t>
      </w:r>
    </w:p>
    <w:p>
      <w:pPr>
        <w:bidi w:val="0"/>
        <w:numPr>
          <w:ilvl w:val="0"/>
          <w:numId w:val="1"/>
        </w:numPr>
        <w:jc w:val="both"/>
        <w:spacing w:lineRule="auto" w:line="3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Calibri" w:eastAsia="宋体" w:hAnsi="宋体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Calibri" w:eastAsia="宋体" w:hAnsi="宋体" w:hint="default"/>
        </w:rPr>
        <w:t>报价：</w:t>
      </w:r>
    </w:p>
    <w:tbl>
      <w:tblID w:val="0"/>
      <w:tblPr>
        <w:tblStyle w:val="PO37"/>
        <w:tblW w:w="8973" w:type="dxa"/>
        <w:tblLook w:val="0004A0" w:firstRow="1" w:lastRow="0" w:firstColumn="1" w:lastColumn="0" w:noHBand="0" w:noVBand="1"/>
        <w:shd w:val="clear"/>
      </w:tblPr>
      <w:tblGrid>
        <w:gridCol w:w="888"/>
        <w:gridCol w:w="810"/>
        <w:gridCol w:w="1830"/>
        <w:gridCol w:w="544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888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序号</w:t>
            </w:r>
          </w:p>
        </w:tc>
        <w:tc>
          <w:tcPr>
            <w:tcW w:type="dxa" w:w="810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项目</w:t>
            </w:r>
          </w:p>
        </w:tc>
        <w:tc>
          <w:tcPr>
            <w:tcW w:type="dxa" w:w="1830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报价（元）</w:t>
            </w:r>
          </w:p>
        </w:tc>
        <w:tc>
          <w:tcPr>
            <w:tcW w:type="dxa" w:w="5445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备注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888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1</w:t>
            </w:r>
          </w:p>
        </w:tc>
        <w:tc>
          <w:tcPr>
            <w:tcW w:type="dxa" w:w="810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教师</w:t>
            </w: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培训</w:t>
            </w:r>
          </w:p>
        </w:tc>
        <w:tc>
          <w:tcPr>
            <w:tcW w:type="dxa" w:w="1830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</w:p>
        </w:tc>
        <w:tc>
          <w:tcPr>
            <w:tcW w:type="dxa" w:w="5445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both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邀请专家提供前沿教育教学理念和案例，指</w:t>
            </w:r>
            <w:r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导各学科教育教学工作，指导课题研究工</w:t>
            </w:r>
            <w:r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作，完善教师心理健康建设，加强教师职业</w:t>
            </w:r>
            <w:r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认同与师德修炼等，共计15次。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888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2</w:t>
            </w:r>
          </w:p>
        </w:tc>
        <w:tc>
          <w:tcPr>
            <w:tcW w:type="dxa" w:w="810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家长</w:t>
            </w: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培训</w:t>
            </w:r>
          </w:p>
        </w:tc>
        <w:tc>
          <w:tcPr>
            <w:tcW w:type="dxa" w:w="1830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</w:p>
        </w:tc>
        <w:tc>
          <w:tcPr>
            <w:tcW w:type="dxa" w:w="5445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both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邀请家庭教育的专家为学校的家长举行讲</w:t>
            </w:r>
            <w:r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座，提供科学有效的家庭教育方法等，共</w:t>
            </w:r>
            <w:r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计5次。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698"/>
            <w:cnfStyle w:val="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合计</w:t>
            </w:r>
          </w:p>
        </w:tc>
        <w:tc>
          <w:tcPr>
            <w:tcW w:type="dxa" w:w="1830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center"/>
              <w:spacing w:lineRule="auto" w:line="360" w:before="0" w:after="160"/>
              <w:pageBreakBefore w:val="0"/>
              <w:ind w:right="0" w:firstLine="0"/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 xml:space="preserve">（      ）元 </w:t>
            </w:r>
          </w:p>
        </w:tc>
        <w:tc>
          <w:tcPr>
            <w:tcW w:type="dxa" w:w="5445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1"/>
              </w:numPr>
              <w:jc w:val="both"/>
              <w:spacing w:lineRule="auto" w:line="360" w:before="0" w:after="160"/>
              <w:pageBreakBefore w:val="0"/>
              <w:ind w:right="0" w:firstLine="0"/>
              <w:rPr>
                <w:rStyle w:val="PO101"/>
                <w:i w:val="0"/>
                <w:b w:val="1"/>
                <w:color w:val="auto"/>
                <w:position w:val="0"/>
                <w:sz w:val="28"/>
                <w:szCs w:val="28"/>
                <w:u w:val="single"/>
                <w:rFonts w:ascii="Calibri" w:eastAsia="宋体" w:hAnsi="宋体" w:hint="default"/>
              </w:rPr>
              <w:snapToGrid w:val="on"/>
              <w:autoSpaceDE w:val="1"/>
              <w:autoSpaceDN w:val="1"/>
            </w:pPr>
            <w:r>
              <w:rPr>
                <w:rStyle w:val="PO101"/>
                <w:b w:val="1"/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t>人民币大写：</w:t>
            </w:r>
            <w:r>
              <w:rPr>
                <w:rStyle w:val="PO101"/>
                <w:i w:val="0"/>
                <w:b w:val="1"/>
                <w:color w:val="auto"/>
                <w:position w:val="0"/>
                <w:sz w:val="28"/>
                <w:szCs w:val="28"/>
                <w:u w:val="single"/>
                <w:rFonts w:ascii="Calibri" w:eastAsia="宋体" w:hAnsi="宋体" w:hint="default"/>
              </w:rPr>
              <w:t xml:space="preserve">               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备注：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rStyle w:val="PO0"/>
          <w:spacing w:val="0"/>
          <w:b w:val="0"/>
          <w:color w:val="auto"/>
          <w:position w:val="0"/>
          <w:sz w:val="20"/>
          <w:szCs w:val="20"/>
          <w:smallCaps w:val="0"/>
          <w:rFonts w:ascii="Calibri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1.此报价页由学校提供，投标单位填写报价后打印；2.公司资质复印件；3.其它印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证材料。4.所有纸质资料均需加盖单位鲜章。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0029"/>
    <w:lvl w:ilvl="0">
      <w:lvlJc w:val="left"/>
      <w:numFmt w:val="decimal"/>
      <w:start w:val="1"/>
      <w:suff w:val="nothing"/>
      <w:lvlText w:val="%1、"/>
    </w:lvl>
    <w:lvl w:ilvl="1">
      <w:lvlJc w:val="left"/>
      <w:numFmt w:val="decimal"/>
      <w:start w:val="1"/>
      <w:suff w:val="nothing"/>
      <w:lvlText w:val="%1、"/>
    </w:lvl>
    <w:lvl w:ilvl="2">
      <w:lvlJc w:val="left"/>
      <w:numFmt w:val="decimal"/>
      <w:start w:val="1"/>
      <w:suff w:val="nothing"/>
      <w:lvlText w:val="%1、"/>
    </w:lvl>
    <w:lvl w:ilvl="3">
      <w:lvlJc w:val="left"/>
      <w:numFmt w:val="decimal"/>
      <w:start w:val="1"/>
      <w:suff w:val="nothing"/>
      <w:lvlText w:val="%1、"/>
    </w:lvl>
    <w:lvl w:ilvl="4">
      <w:lvlJc w:val="left"/>
      <w:numFmt w:val="decimal"/>
      <w:start w:val="1"/>
      <w:suff w:val="nothing"/>
      <w:lvlText w:val="%1、"/>
    </w:lvl>
    <w:lvl w:ilvl="5">
      <w:lvlJc w:val="left"/>
      <w:numFmt w:val="decimal"/>
      <w:start w:val="1"/>
      <w:suff w:val="nothing"/>
      <w:lvlText w:val="%1、"/>
    </w:lvl>
    <w:lvl w:ilvl="6">
      <w:lvlJc w:val="left"/>
      <w:numFmt w:val="decimal"/>
      <w:start w:val="1"/>
      <w:suff w:val="nothing"/>
      <w:lvlText w:val="%1、"/>
    </w:lvl>
    <w:lvl w:ilvl="7">
      <w:lvlJc w:val="left"/>
      <w:numFmt w:val="decimal"/>
      <w:start w:val="1"/>
      <w:suff w:val="nothing"/>
      <w:lvlText w:val="%1、"/>
    </w:lvl>
    <w:lvl w:ilvl="8">
      <w:lvlJc w:val="left"/>
      <w:numFmt w:val="decimal"/>
      <w:start w:val="1"/>
      <w:suff w:val="nothing"/>
      <w:lvlText w:val="%1、"/>
    </w:lvl>
  </w:abstractNum>
  <w:abstractNum w:abstractNumId="1">
    <w:multiLevelType w:val="hybridMultilevel"/>
    <w:nsid w:val="000001"/>
    <w:tmpl w:val="004823"/>
    <w:lvl w:ilvl="0">
      <w:lvlJc w:val="left"/>
      <w:numFmt w:val="decimal"/>
      <w:start w:val="3"/>
      <w:suff w:val="nothing"/>
      <w:lvlText w:val="%1、"/>
    </w:lvl>
    <w:lvl w:ilvl="1">
      <w:lvlJc w:val="left"/>
      <w:numFmt w:val="decimal"/>
      <w:start w:val="3"/>
      <w:suff w:val="nothing"/>
      <w:lvlText w:val="%1、"/>
    </w:lvl>
    <w:lvl w:ilvl="2">
      <w:lvlJc w:val="left"/>
      <w:numFmt w:val="decimal"/>
      <w:start w:val="3"/>
      <w:suff w:val="nothing"/>
      <w:lvlText w:val="%1、"/>
    </w:lvl>
    <w:lvl w:ilvl="3">
      <w:lvlJc w:val="left"/>
      <w:numFmt w:val="decimal"/>
      <w:start w:val="3"/>
      <w:suff w:val="nothing"/>
      <w:lvlText w:val="%1、"/>
    </w:lvl>
    <w:lvl w:ilvl="4">
      <w:lvlJc w:val="left"/>
      <w:numFmt w:val="decimal"/>
      <w:start w:val="3"/>
      <w:suff w:val="nothing"/>
      <w:lvlText w:val="%1、"/>
    </w:lvl>
    <w:lvl w:ilvl="5">
      <w:lvlJc w:val="left"/>
      <w:numFmt w:val="decimal"/>
      <w:start w:val="3"/>
      <w:suff w:val="nothing"/>
      <w:lvlText w:val="%1、"/>
    </w:lvl>
    <w:lvl w:ilvl="6">
      <w:lvlJc w:val="left"/>
      <w:numFmt w:val="decimal"/>
      <w:start w:val="3"/>
      <w:suff w:val="nothing"/>
      <w:lvlText w:val="%1、"/>
    </w:lvl>
    <w:lvl w:ilvl="7">
      <w:lvlJc w:val="left"/>
      <w:numFmt w:val="decimal"/>
      <w:start w:val="3"/>
      <w:suff w:val="nothing"/>
      <w:lvlText w:val="%1、"/>
    </w:lvl>
    <w:lvl w:ilvl="8">
      <w:lvlJc w:val="left"/>
      <w:numFmt w:val="decimal"/>
      <w:start w:val="3"/>
      <w:suff w:val="nothing"/>
      <w:lvlText w:val="%1、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styleId="PO37" w:type="table">
    <w:name w:val="Table Grid"/>
    <w:basedOn w:val="PO3"/>
    <w:uiPriority w:val="37"/>
    <w:pPr>
      <w:jc w:val="both"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2017-12-12T06:34:55Z</dcterms:modified>
</cp:coreProperties>
</file>