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  <w:lang w:val="en-US" w:eastAsia="zh-CN"/>
        </w:rPr>
        <w:t>中共</w:t>
      </w: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总支</w:t>
      </w:r>
      <w:r>
        <w:rPr>
          <w:rFonts w:hint="eastAsia"/>
          <w:sz w:val="36"/>
          <w:szCs w:val="44"/>
          <w:lang w:val="en-US" w:eastAsia="zh-CN"/>
        </w:rPr>
        <w:t>部委员会党建宣传片拍摄</w:t>
      </w:r>
      <w:r>
        <w:rPr>
          <w:rFonts w:hint="eastAsia"/>
          <w:sz w:val="36"/>
          <w:szCs w:val="44"/>
        </w:rPr>
        <w:t>招标公告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我校现拟通过比选采购</w:t>
      </w:r>
      <w:r>
        <w:rPr>
          <w:rFonts w:hint="eastAsia"/>
          <w:sz w:val="24"/>
          <w:szCs w:val="24"/>
          <w:lang w:eastAsia="zh-CN"/>
        </w:rPr>
        <w:t>一家单位为我校拍摄“党建宣传片”</w:t>
      </w:r>
      <w:r>
        <w:rPr>
          <w:rFonts w:hint="eastAsia"/>
          <w:sz w:val="24"/>
          <w:szCs w:val="24"/>
        </w:rPr>
        <w:t>。欢迎符合要求的单位予以投标，并请</w:t>
      </w:r>
      <w:r>
        <w:rPr>
          <w:rFonts w:hint="eastAsia"/>
          <w:color w:val="auto"/>
          <w:sz w:val="24"/>
          <w:szCs w:val="24"/>
          <w:shd w:val="clear" w:color="auto" w:fill="auto"/>
        </w:rPr>
        <w:t>于202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shd w:val="clear" w:color="auto" w:fill="auto"/>
        </w:rPr>
        <w:t>年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/>
          <w:color w:val="auto"/>
          <w:sz w:val="24"/>
          <w:szCs w:val="24"/>
          <w:shd w:val="clear" w:color="auto" w:fill="auto"/>
        </w:rPr>
        <w:t>月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28</w:t>
      </w:r>
      <w:r>
        <w:rPr>
          <w:rFonts w:hint="eastAsia"/>
          <w:color w:val="auto"/>
          <w:sz w:val="24"/>
          <w:szCs w:val="24"/>
          <w:shd w:val="clear" w:color="auto" w:fill="auto"/>
        </w:rPr>
        <w:t>日1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shd w:val="clear" w:color="auto" w:fill="auto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numPr>
          <w:ilvl w:val="0"/>
          <w:numId w:val="1"/>
        </w:numPr>
        <w:spacing w:line="360" w:lineRule="auto"/>
        <w:rPr>
          <w:rFonts w:hint="eastAsia" w:ascii="华文仿宋" w:hAnsi="华文仿宋" w:eastAsia="华文仿宋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拍摄内容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</w:t>
      </w:r>
      <w:r>
        <w:rPr>
          <w:rFonts w:hint="eastAsia" w:ascii="华文仿宋" w:hAnsi="华文仿宋" w:eastAsia="华文仿宋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1、突出党员教师先锋模范和示范引领作用。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2、体现党建品牌的引领作用，一是党建带团建队建的建设情况；二是体现党建引领教师队伍发展情况。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3、回应党员教师服务中心大局工作情况，体现党员干部参与文明城市创建志愿服务的工作情况。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拍摄要求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</w:p>
    <w:p>
      <w:pPr>
        <w:pStyle w:val="2"/>
        <w:ind w:firstLine="48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、时长5分钟左右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pStyle w:val="2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2、高清画质、画面清晰流畅无卡顿、稳定、对焦准确；</w:t>
      </w:r>
    </w:p>
    <w:p>
      <w:pPr>
        <w:pStyle w:val="2"/>
        <w:numPr>
          <w:ilvl w:val="0"/>
          <w:numId w:val="0"/>
        </w:numPr>
        <w:ind w:firstLine="48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3、声音清晰，无噪音杂音；</w:t>
      </w:r>
    </w:p>
    <w:p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三、</w:t>
      </w:r>
      <w:r>
        <w:rPr>
          <w:rFonts w:hint="eastAsia"/>
          <w:b/>
          <w:bCs/>
          <w:sz w:val="24"/>
          <w:szCs w:val="24"/>
        </w:rPr>
        <w:t>注意事项：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2"/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2.1.4报价单（见附件一）</w:t>
      </w:r>
    </w:p>
    <w:p>
      <w:pPr>
        <w:numPr>
          <w:ilvl w:val="0"/>
          <w:numId w:val="2"/>
        </w:num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72" w:tblpY="285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236"/>
        <w:gridCol w:w="639"/>
        <w:gridCol w:w="6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677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677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履约能力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10分</w:t>
            </w:r>
          </w:p>
        </w:tc>
        <w:tc>
          <w:tcPr>
            <w:tcW w:w="3677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方案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</w:t>
            </w:r>
          </w:p>
        </w:tc>
        <w:tc>
          <w:tcPr>
            <w:tcW w:w="3677" w:type="pct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根据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服务方案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；②人员安排；③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应急响应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合计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77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以上资料均需加盖鲜章，均须密封，并在封口处加盖公司公章。</w:t>
      </w:r>
    </w:p>
    <w:p>
      <w:pPr>
        <w:pStyle w:val="2"/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总支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部委员会党建宣传片拍摄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报价单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      年    月    日</w:t>
      </w:r>
    </w:p>
    <w:p>
      <w:pPr>
        <w:rPr>
          <w:rFonts w:hint="eastAsia"/>
          <w:sz w:val="24"/>
        </w:rPr>
      </w:pPr>
    </w:p>
    <w:p>
      <w:pPr>
        <w:jc w:val="left"/>
        <w:rPr>
          <w:rFonts w:hint="default"/>
          <w:sz w:val="24"/>
          <w:u w:val="none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sz w:val="24"/>
          <w:szCs w:val="24"/>
          <w:lang w:val="en-US" w:eastAsia="zh-CN"/>
        </w:rPr>
        <w:t>党建宣传片拍摄报价</w:t>
      </w:r>
      <w:r>
        <w:rPr>
          <w:rFonts w:hint="eastAsia" w:ascii="微软雅黑" w:hAnsi="微软雅黑" w:eastAsia="微软雅黑" w:cs="微软雅黑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/>
          <w:bCs w:val="0"/>
          <w:color w:val="000000"/>
          <w:sz w:val="24"/>
          <w:szCs w:val="24"/>
          <w:u w:val="none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u w:val="none"/>
          <w:lang w:val="en-US" w:eastAsia="zh-CN"/>
        </w:rPr>
        <w:t>。</w:t>
      </w:r>
    </w:p>
    <w:p>
      <w:pPr>
        <w:pStyle w:val="2"/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报价为含税开票价格，并为一次性报价，在确保满足参数要求的前提下报价不能超过预算价</w:t>
      </w:r>
      <w:r>
        <w:rPr>
          <w:rFonts w:hint="eastAsia"/>
          <w:b/>
          <w:bCs/>
          <w:color w:val="auto"/>
          <w:sz w:val="24"/>
          <w:lang w:val="en-US" w:eastAsia="zh-CN"/>
        </w:rPr>
        <w:t>50000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服务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内容自拟（根据</w:t>
      </w:r>
      <w:r>
        <w:rPr>
          <w:rFonts w:hint="eastAsia"/>
          <w:sz w:val="28"/>
          <w:szCs w:val="28"/>
          <w:lang w:eastAsia="zh-CN"/>
        </w:rPr>
        <w:t>服务方案、</w:t>
      </w:r>
      <w:r>
        <w:rPr>
          <w:rFonts w:hint="eastAsia"/>
          <w:sz w:val="28"/>
          <w:szCs w:val="28"/>
        </w:rPr>
        <w:t>人员安排</w:t>
      </w:r>
      <w:r>
        <w:rPr>
          <w:rFonts w:hint="eastAsia"/>
          <w:sz w:val="28"/>
          <w:szCs w:val="28"/>
          <w:lang w:eastAsia="zh-CN"/>
        </w:rPr>
        <w:t>、应急响应、承诺书</w:t>
      </w:r>
      <w:r>
        <w:rPr>
          <w:rFonts w:hint="eastAsia"/>
          <w:sz w:val="28"/>
          <w:szCs w:val="28"/>
        </w:rPr>
        <w:t>等方面拟定）。</w:t>
      </w:r>
    </w:p>
    <w:p>
      <w:pPr>
        <w:rPr>
          <w:sz w:val="28"/>
          <w:szCs w:val="28"/>
        </w:rPr>
      </w:pPr>
    </w:p>
    <w:p/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5FD0B"/>
    <w:multiLevelType w:val="singleLevel"/>
    <w:tmpl w:val="5F65FD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D09F2"/>
    <w:rsid w:val="0814242D"/>
    <w:rsid w:val="0A9305C8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70153E6"/>
    <w:rsid w:val="1961157A"/>
    <w:rsid w:val="1ABD5105"/>
    <w:rsid w:val="1B5B60D7"/>
    <w:rsid w:val="1BC028B8"/>
    <w:rsid w:val="1E4673C7"/>
    <w:rsid w:val="1EE3413B"/>
    <w:rsid w:val="1FDB1680"/>
    <w:rsid w:val="21162D53"/>
    <w:rsid w:val="242D7763"/>
    <w:rsid w:val="29ED4990"/>
    <w:rsid w:val="2AA8473F"/>
    <w:rsid w:val="2B093239"/>
    <w:rsid w:val="2DAD45B2"/>
    <w:rsid w:val="318F3BCB"/>
    <w:rsid w:val="329B53FC"/>
    <w:rsid w:val="37673F3D"/>
    <w:rsid w:val="38545D1F"/>
    <w:rsid w:val="3AE63954"/>
    <w:rsid w:val="3D4E7CEB"/>
    <w:rsid w:val="3DC178FB"/>
    <w:rsid w:val="3DEF2ED4"/>
    <w:rsid w:val="420C7940"/>
    <w:rsid w:val="43A166C0"/>
    <w:rsid w:val="453E313B"/>
    <w:rsid w:val="48144482"/>
    <w:rsid w:val="48356E5A"/>
    <w:rsid w:val="4A457B43"/>
    <w:rsid w:val="4C3C3B81"/>
    <w:rsid w:val="4CC07861"/>
    <w:rsid w:val="4D73213F"/>
    <w:rsid w:val="4DC01311"/>
    <w:rsid w:val="4EC428AA"/>
    <w:rsid w:val="5A297BD9"/>
    <w:rsid w:val="5B1879D4"/>
    <w:rsid w:val="5B662CAF"/>
    <w:rsid w:val="5DE97726"/>
    <w:rsid w:val="5E7469EA"/>
    <w:rsid w:val="5E873A9E"/>
    <w:rsid w:val="60587A04"/>
    <w:rsid w:val="62812BF2"/>
    <w:rsid w:val="629E6A2C"/>
    <w:rsid w:val="672A1E6E"/>
    <w:rsid w:val="6EBD6337"/>
    <w:rsid w:val="6F9A249A"/>
    <w:rsid w:val="70CE451E"/>
    <w:rsid w:val="723B4B0D"/>
    <w:rsid w:val="73A57AB3"/>
    <w:rsid w:val="75AF7A41"/>
    <w:rsid w:val="75F41B61"/>
    <w:rsid w:val="781B4C84"/>
    <w:rsid w:val="785A0091"/>
    <w:rsid w:val="79DC1BF2"/>
    <w:rsid w:val="7B1D4F00"/>
    <w:rsid w:val="7C690D14"/>
    <w:rsid w:val="7C7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4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cp:lastPrinted>2023-04-11T06:41:00Z</cp:lastPrinted>
  <dcterms:modified xsi:type="dcterms:W3CDTF">2023-05-31T01:28:55Z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