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40"/>
        </w:rPr>
      </w:pPr>
      <w:r>
        <w:rPr>
          <w:rFonts w:hint="eastAsia"/>
          <w:sz w:val="32"/>
          <w:szCs w:val="40"/>
        </w:rPr>
        <w:t>成都市泡桐树小学（天府校区）</w:t>
      </w:r>
    </w:p>
    <w:p>
      <w:pPr>
        <w:spacing w:line="360" w:lineRule="auto"/>
        <w:jc w:val="center"/>
        <w:rPr>
          <w:rFonts w:hint="eastAsia"/>
          <w:sz w:val="32"/>
          <w:szCs w:val="40"/>
        </w:rPr>
      </w:pPr>
      <w:r>
        <w:rPr>
          <w:rFonts w:hint="eastAsia"/>
          <w:sz w:val="32"/>
          <w:szCs w:val="40"/>
          <w:lang w:val="en-US" w:eastAsia="zh-CN"/>
        </w:rPr>
        <w:t>2024提升修缮工程设计服务</w:t>
      </w:r>
      <w:r>
        <w:rPr>
          <w:rFonts w:hint="eastAsia"/>
          <w:sz w:val="32"/>
          <w:szCs w:val="40"/>
        </w:rPr>
        <w:t>招标公告</w:t>
      </w:r>
    </w:p>
    <w:p>
      <w:pPr>
        <w:pageBreakBefore w:val="0"/>
        <w:widowControl w:val="0"/>
        <w:kinsoku/>
        <w:wordWrap/>
        <w:overflowPunct/>
        <w:topLinePunct w:val="0"/>
        <w:autoSpaceDE/>
        <w:autoSpaceDN/>
        <w:bidi w:val="0"/>
        <w:adjustRightInd/>
        <w:snapToGrid/>
        <w:spacing w:line="320" w:lineRule="exact"/>
        <w:textAlignment w:val="auto"/>
        <w:rPr>
          <w:rFonts w:ascii="方正仿宋_GBK" w:eastAsia="方正仿宋_GBK"/>
          <w:sz w:val="32"/>
          <w:szCs w:val="32"/>
        </w:rPr>
      </w:pPr>
      <w:r>
        <w:rPr>
          <w:rFonts w:hint="eastAsia" w:asciiTheme="minorEastAsia" w:hAnsiTheme="minorEastAsia" w:eastAsiaTheme="minorEastAsia" w:cstheme="minorEastAsia"/>
          <w:b w:val="0"/>
          <w:bCs w:val="0"/>
          <w:sz w:val="28"/>
          <w:szCs w:val="28"/>
        </w:rPr>
        <w:t>各</w:t>
      </w:r>
      <w:r>
        <w:rPr>
          <w:rFonts w:hint="eastAsia" w:asciiTheme="minorEastAsia" w:hAnsiTheme="minorEastAsia" w:eastAsiaTheme="minorEastAsia" w:cstheme="minorEastAsia"/>
          <w:b w:val="0"/>
          <w:bCs w:val="0"/>
          <w:sz w:val="28"/>
          <w:szCs w:val="28"/>
          <w:lang w:eastAsia="zh-CN"/>
        </w:rPr>
        <w:t>供应商</w:t>
      </w:r>
      <w:r>
        <w:rPr>
          <w:rFonts w:hint="eastAsia" w:ascii="方正仿宋_GBK" w:eastAsia="方正仿宋_GBK"/>
          <w:sz w:val="32"/>
          <w:szCs w:val="32"/>
        </w:rPr>
        <w:t>：</w:t>
      </w:r>
    </w:p>
    <w:p>
      <w:pPr>
        <w:spacing w:line="360" w:lineRule="auto"/>
        <w:ind w:firstLine="420"/>
        <w:rPr>
          <w:sz w:val="24"/>
          <w:szCs w:val="24"/>
        </w:rPr>
      </w:pPr>
      <w:r>
        <w:rPr>
          <w:rFonts w:hint="eastAsia" w:ascii="宋体" w:hAnsi="宋体" w:eastAsia="宋体"/>
          <w:sz w:val="24"/>
          <w:szCs w:val="24"/>
          <w:lang w:val="en-US" w:eastAsia="zh-CN"/>
        </w:rPr>
        <w:t>我校拟对</w:t>
      </w:r>
      <w:r>
        <w:rPr>
          <w:rFonts w:hint="eastAsia" w:ascii="宋体" w:hAnsi="宋体" w:eastAsia="宋体"/>
          <w:sz w:val="24"/>
          <w:szCs w:val="24"/>
          <w:u w:val="single"/>
          <w:lang w:val="en-US" w:eastAsia="zh-CN"/>
        </w:rPr>
        <w:t>2024提升修缮工程设计服务</w:t>
      </w:r>
      <w:r>
        <w:rPr>
          <w:rFonts w:hint="eastAsia" w:ascii="宋体" w:hAnsi="宋体" w:eastAsia="宋体"/>
          <w:sz w:val="24"/>
          <w:szCs w:val="24"/>
          <w:lang w:val="en-US" w:eastAsia="zh-CN"/>
        </w:rPr>
        <w:t>项目进行公开招标，欢迎符合本次比选要求的参选单位参加本项目公开比选。</w:t>
      </w:r>
      <w:r>
        <w:rPr>
          <w:rFonts w:hint="eastAsia"/>
          <w:sz w:val="24"/>
          <w:szCs w:val="24"/>
        </w:rPr>
        <w:t>并请</w:t>
      </w:r>
      <w:r>
        <w:rPr>
          <w:rFonts w:hint="eastAsia"/>
          <w:color w:val="auto"/>
          <w:sz w:val="24"/>
          <w:szCs w:val="24"/>
          <w:shd w:val="clear" w:color="auto" w:fill="auto"/>
        </w:rPr>
        <w:t>于202</w:t>
      </w:r>
      <w:r>
        <w:rPr>
          <w:rFonts w:hint="eastAsia"/>
          <w:color w:val="auto"/>
          <w:sz w:val="24"/>
          <w:szCs w:val="24"/>
          <w:shd w:val="clear" w:color="auto" w:fill="auto"/>
          <w:lang w:val="en-US" w:eastAsia="zh-CN"/>
        </w:rPr>
        <w:t>4</w:t>
      </w:r>
      <w:r>
        <w:rPr>
          <w:rFonts w:hint="eastAsia"/>
          <w:color w:val="auto"/>
          <w:sz w:val="24"/>
          <w:szCs w:val="24"/>
          <w:shd w:val="clear" w:color="auto" w:fill="auto"/>
        </w:rPr>
        <w:t>年</w:t>
      </w:r>
      <w:r>
        <w:rPr>
          <w:rFonts w:hint="eastAsia"/>
          <w:color w:val="auto"/>
          <w:sz w:val="24"/>
          <w:szCs w:val="24"/>
          <w:shd w:val="clear" w:color="auto" w:fill="auto"/>
          <w:lang w:val="en-US" w:eastAsia="zh-CN"/>
        </w:rPr>
        <w:t>5</w:t>
      </w:r>
      <w:r>
        <w:rPr>
          <w:rFonts w:hint="eastAsia"/>
          <w:color w:val="auto"/>
          <w:sz w:val="24"/>
          <w:szCs w:val="24"/>
          <w:shd w:val="clear" w:color="auto" w:fill="auto"/>
        </w:rPr>
        <w:t>月</w:t>
      </w:r>
      <w:r>
        <w:rPr>
          <w:rFonts w:hint="eastAsia"/>
          <w:color w:val="auto"/>
          <w:sz w:val="24"/>
          <w:szCs w:val="24"/>
          <w:shd w:val="clear" w:color="auto" w:fill="auto"/>
          <w:lang w:val="en-US" w:eastAsia="zh-CN"/>
        </w:rPr>
        <w:t>9</w:t>
      </w:r>
      <w:r>
        <w:rPr>
          <w:rFonts w:hint="eastAsia"/>
          <w:color w:val="auto"/>
          <w:sz w:val="24"/>
          <w:szCs w:val="24"/>
          <w:shd w:val="clear" w:color="auto" w:fill="auto"/>
        </w:rPr>
        <w:t>日1</w:t>
      </w:r>
      <w:r>
        <w:rPr>
          <w:rFonts w:hint="eastAsia"/>
          <w:color w:val="auto"/>
          <w:sz w:val="24"/>
          <w:szCs w:val="24"/>
          <w:shd w:val="clear" w:color="auto" w:fill="auto"/>
          <w:lang w:val="en-US" w:eastAsia="zh-CN"/>
        </w:rPr>
        <w:t>7</w:t>
      </w:r>
      <w:r>
        <w:rPr>
          <w:rFonts w:hint="eastAsia"/>
          <w:color w:val="auto"/>
          <w:sz w:val="24"/>
          <w:szCs w:val="24"/>
          <w:shd w:val="clear" w:color="auto" w:fill="auto"/>
        </w:rPr>
        <w:t>:00</w:t>
      </w:r>
      <w:r>
        <w:rPr>
          <w:rFonts w:hint="eastAsia"/>
          <w:sz w:val="24"/>
          <w:szCs w:val="24"/>
        </w:rPr>
        <w:t>点前将比选响应文件送至我校服务中心。</w:t>
      </w:r>
    </w:p>
    <w:p>
      <w:pPr>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sz w:val="24"/>
          <w:szCs w:val="24"/>
          <w:lang w:val="en-US" w:eastAsia="zh-CN"/>
        </w:rPr>
      </w:pPr>
    </w:p>
    <w:p>
      <w:pPr>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sz w:val="24"/>
          <w:szCs w:val="24"/>
          <w:lang w:val="en-US" w:eastAsia="zh-CN"/>
        </w:rPr>
      </w:pPr>
      <w:r>
        <w:rPr>
          <w:rFonts w:hint="eastAsia" w:ascii="宋体" w:hAnsi="宋体" w:eastAsia="宋体"/>
          <w:sz w:val="28"/>
          <w:szCs w:val="28"/>
          <w:lang w:val="en-US" w:eastAsia="zh-CN"/>
        </w:rPr>
        <w:t>一、项目名称：</w:t>
      </w:r>
      <w:r>
        <w:rPr>
          <w:rFonts w:hint="eastAsia" w:ascii="宋体" w:hAnsi="宋体" w:eastAsia="宋体"/>
          <w:sz w:val="24"/>
          <w:szCs w:val="24"/>
          <w:lang w:val="en-US" w:eastAsia="zh-CN"/>
        </w:rPr>
        <w:t>成都市泡桐树小学（天府校区）</w:t>
      </w:r>
      <w:r>
        <w:rPr>
          <w:rFonts w:hint="eastAsia" w:ascii="宋体" w:hAnsi="宋体" w:eastAsia="宋体"/>
          <w:sz w:val="24"/>
          <w:szCs w:val="24"/>
          <w:u w:val="single"/>
          <w:lang w:val="en-US" w:eastAsia="zh-CN"/>
        </w:rPr>
        <w:t>2024提升修缮工程设计服务</w:t>
      </w:r>
      <w:r>
        <w:rPr>
          <w:rFonts w:hint="eastAsia" w:ascii="宋体" w:hAnsi="宋体" w:eastAsia="宋体"/>
          <w:sz w:val="24"/>
          <w:szCs w:val="24"/>
          <w:lang w:val="en-US" w:eastAsia="zh-CN"/>
        </w:rPr>
        <w:t>项目。</w:t>
      </w:r>
    </w:p>
    <w:p>
      <w:pPr>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二、预算金额：</w:t>
      </w:r>
      <w:r>
        <w:rPr>
          <w:rFonts w:hint="eastAsia" w:ascii="宋体" w:hAnsi="宋体" w:eastAsia="宋体"/>
          <w:b/>
          <w:bCs/>
          <w:color w:val="auto"/>
          <w:sz w:val="28"/>
          <w:szCs w:val="28"/>
          <w:lang w:val="en-US" w:eastAsia="zh-CN"/>
        </w:rPr>
        <w:t>75500元</w:t>
      </w:r>
      <w:r>
        <w:rPr>
          <w:rFonts w:hint="eastAsia" w:ascii="宋体" w:hAnsi="宋体" w:eastAsia="宋体"/>
          <w:sz w:val="28"/>
          <w:szCs w:val="28"/>
          <w:lang w:val="en-US" w:eastAsia="zh-CN"/>
        </w:rPr>
        <w:t>。</w:t>
      </w:r>
    </w:p>
    <w:p>
      <w:pPr>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sz w:val="28"/>
          <w:szCs w:val="28"/>
          <w:lang w:val="en-US" w:eastAsia="zh-CN"/>
        </w:rPr>
      </w:pPr>
      <w:r>
        <w:rPr>
          <w:rFonts w:hint="eastAsia" w:ascii="宋体" w:hAnsi="宋体" w:eastAsia="宋体"/>
          <w:sz w:val="28"/>
          <w:szCs w:val="28"/>
          <w:lang w:val="en-US" w:eastAsia="zh-CN"/>
        </w:rPr>
        <w:t>三、设计内容包含：</w:t>
      </w:r>
    </w:p>
    <w:p>
      <w:pPr>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1.老校区教室木地板更换成地砖，约1160㎡；</w:t>
      </w:r>
    </w:p>
    <w:p>
      <w:pPr>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2.新校区三楼过道封窗，约80㎡；</w:t>
      </w:r>
    </w:p>
    <w:p>
      <w:pPr>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3.食堂改造约440㎡；</w:t>
      </w:r>
    </w:p>
    <w:p>
      <w:pPr>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4.操场平整约400㎡；</w:t>
      </w:r>
    </w:p>
    <w:p>
      <w:pPr>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sz w:val="28"/>
          <w:szCs w:val="28"/>
          <w:lang w:val="en-US" w:eastAsia="zh-CN"/>
        </w:rPr>
      </w:pPr>
      <w:r>
        <w:rPr>
          <w:rFonts w:hint="eastAsia" w:ascii="宋体" w:hAnsi="宋体" w:eastAsia="宋体"/>
          <w:sz w:val="24"/>
          <w:szCs w:val="24"/>
          <w:lang w:val="en-US" w:eastAsia="zh-CN"/>
        </w:rPr>
        <w:t>5.新校区中心花园改造，约100平米。</w:t>
      </w:r>
    </w:p>
    <w:p>
      <w:pPr>
        <w:pStyle w:val="3"/>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四、技术、服务要求（实质性要求）</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1、本次采购范围内的工程设计（主要包括项目建议书、设计、技术交底、后期服务及采购人要求的其他设计工作内容等）。</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本工程的编制过程和成果必须符合国家有关工程建设标准强制性条文、中华人民共和国国家标准和其他部委颁布的有关建筑工程勘察设计等方面现行的标准、规范、规程、定额、办法、示例，以及住建部、四川省住建厅下发的有关建设工程勘察设计方面的文件和规定。在编制过程中，如果国家或有 关部委颁发了新的技术标准或规范，则供应商应采用新的标准或规范进行编制。</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3、符合本建设项目现行国家规范、标准、强制性规定，无重大差错；成交供应商应按采购单位的要求做好后续评审服务工作。符合国家现行勘察设计规范要求。</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4、供应商在施工图设计之前应进行现场实地踏勘，了解项目实施地的环境状况，确保施工图设计与现场实际情况一致。</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5、按合同规定的进度要求提交质量合格的设计资料，并对其负责。</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6、供应商应保护采购人的知识产权，不得向第三人泄露、转让采购人提交的产品图纸等技术经济资料。</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7、按采购人要求成果文件资料。</w:t>
      </w:r>
    </w:p>
    <w:p>
      <w:pPr>
        <w:pStyle w:val="7"/>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8、其他未尽事宜按双方合同约定。</w:t>
      </w:r>
    </w:p>
    <w:p>
      <w:pPr>
        <w:pStyle w:val="3"/>
        <w:pageBreakBefore w:val="0"/>
        <w:widowControl w:val="0"/>
        <w:kinsoku/>
        <w:wordWrap/>
        <w:overflowPunct/>
        <w:topLinePunct w:val="0"/>
        <w:autoSpaceDE/>
        <w:autoSpaceDN/>
        <w:bidi w:val="0"/>
        <w:adjustRightInd/>
        <w:snapToGrid/>
        <w:spacing w:before="0" w:after="0" w:line="320" w:lineRule="exact"/>
        <w:textAlignment w:val="auto"/>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五、商务要求（实质性要求）</w:t>
      </w:r>
    </w:p>
    <w:p>
      <w:pPr>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1、服务期限：合同签订生效后30个日历日内完成所有约定事宜；</w:t>
      </w:r>
    </w:p>
    <w:p>
      <w:pPr>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2、服务地点：成都市泡桐树小学（天府校区）（采购人指定地点）。</w:t>
      </w:r>
    </w:p>
    <w:p>
      <w:pPr>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w:t>
      </w:r>
      <w:r>
        <w:rPr>
          <w:rFonts w:hint="eastAsia" w:ascii="宋体" w:hAnsi="宋体" w:eastAsia="宋体" w:cstheme="minorBidi"/>
          <w:b w:val="0"/>
          <w:bCs w:val="0"/>
          <w:kern w:val="2"/>
          <w:sz w:val="24"/>
          <w:szCs w:val="24"/>
          <w:lang w:val="zh-CN" w:eastAsia="zh-CN" w:bidi="ar-SA"/>
        </w:rPr>
        <w:t>付款方式：设计单位完成设计并交付纸质（电子）成果后支付合同金额的50%，工程项目完成竣工结算审核</w:t>
      </w:r>
      <w:r>
        <w:rPr>
          <w:rFonts w:hint="eastAsia" w:ascii="宋体" w:hAnsi="宋体" w:eastAsia="宋体" w:cstheme="minorBidi"/>
          <w:b w:val="0"/>
          <w:bCs w:val="0"/>
          <w:kern w:val="2"/>
          <w:sz w:val="24"/>
          <w:szCs w:val="24"/>
          <w:lang w:val="en-US" w:eastAsia="zh-CN" w:bidi="ar-SA"/>
        </w:rPr>
        <w:t>且经甲方验收合格</w:t>
      </w:r>
      <w:r>
        <w:rPr>
          <w:rFonts w:hint="eastAsia" w:ascii="宋体" w:hAnsi="宋体" w:eastAsia="宋体" w:cstheme="minorBidi"/>
          <w:b w:val="0"/>
          <w:bCs w:val="0"/>
          <w:kern w:val="2"/>
          <w:sz w:val="24"/>
          <w:szCs w:val="24"/>
          <w:lang w:val="zh-CN" w:eastAsia="zh-CN" w:bidi="ar-SA"/>
        </w:rPr>
        <w:t>后支付至合同金额的100%。</w:t>
      </w:r>
    </w:p>
    <w:p>
      <w:pPr>
        <w:pStyle w:val="7"/>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4、履约验收方式：</w:t>
      </w:r>
    </w:p>
    <w:p>
      <w:pPr>
        <w:pStyle w:val="7"/>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按国家有关规定以及本项目磋商文件的质量要求和技术指标或者成交供应商的响应文件及承诺等进行验收，若上述文件规定不一致的，以最有利于采购人且未违反法律规定的为准。</w:t>
      </w:r>
    </w:p>
    <w:p>
      <w:pPr>
        <w:numPr>
          <w:ilvl w:val="0"/>
          <w:numId w:val="0"/>
        </w:numPr>
        <w:spacing w:line="360" w:lineRule="auto"/>
        <w:rPr>
          <w:sz w:val="24"/>
          <w:szCs w:val="24"/>
        </w:rPr>
      </w:pPr>
      <w:r>
        <w:rPr>
          <w:rFonts w:hint="eastAsia"/>
          <w:b w:val="0"/>
          <w:bCs w:val="0"/>
          <w:sz w:val="28"/>
          <w:szCs w:val="28"/>
          <w:lang w:val="en-US" w:eastAsia="zh-CN"/>
        </w:rPr>
        <w:t>六、</w:t>
      </w:r>
      <w:r>
        <w:rPr>
          <w:rFonts w:hint="eastAsia"/>
          <w:sz w:val="28"/>
          <w:szCs w:val="28"/>
        </w:rPr>
        <w:t>注意事项：</w:t>
      </w:r>
    </w:p>
    <w:p>
      <w:pPr>
        <w:spacing w:line="360" w:lineRule="auto"/>
        <w:ind w:firstLine="420"/>
        <w:rPr>
          <w:sz w:val="24"/>
          <w:szCs w:val="24"/>
        </w:rPr>
      </w:pPr>
      <w:r>
        <w:rPr>
          <w:rFonts w:hint="eastAsia"/>
          <w:sz w:val="24"/>
          <w:szCs w:val="24"/>
        </w:rPr>
        <w:t>1.</w:t>
      </w:r>
      <w:r>
        <w:rPr>
          <w:rFonts w:hint="eastAsia"/>
          <w:sz w:val="24"/>
          <w:szCs w:val="24"/>
          <w:lang w:eastAsia="zh-CN"/>
        </w:rPr>
        <w:t>供应商</w:t>
      </w:r>
      <w:r>
        <w:rPr>
          <w:rFonts w:hint="eastAsia"/>
          <w:sz w:val="24"/>
          <w:szCs w:val="24"/>
        </w:rPr>
        <w:t>须满足《政府采购法》第二十二条相关资质要求。</w:t>
      </w:r>
    </w:p>
    <w:p>
      <w:pPr>
        <w:spacing w:line="360" w:lineRule="auto"/>
        <w:ind w:firstLine="420"/>
        <w:rPr>
          <w:sz w:val="24"/>
          <w:szCs w:val="24"/>
        </w:rPr>
      </w:pPr>
      <w:r>
        <w:rPr>
          <w:rFonts w:hint="eastAsia"/>
          <w:sz w:val="24"/>
          <w:szCs w:val="24"/>
        </w:rPr>
        <w:t>2.比选文件构成：</w:t>
      </w:r>
    </w:p>
    <w:p>
      <w:pPr>
        <w:spacing w:line="360" w:lineRule="auto"/>
        <w:ind w:firstLine="420"/>
        <w:rPr>
          <w:sz w:val="24"/>
          <w:szCs w:val="24"/>
        </w:rPr>
      </w:pPr>
      <w:r>
        <w:rPr>
          <w:rFonts w:hint="eastAsia"/>
          <w:sz w:val="24"/>
          <w:szCs w:val="24"/>
        </w:rPr>
        <w:t>2.1资格审查：投标人需提供下述资料，否则视为无效投标。</w:t>
      </w:r>
    </w:p>
    <w:p>
      <w:pPr>
        <w:spacing w:line="360" w:lineRule="auto"/>
        <w:ind w:firstLine="420"/>
        <w:rPr>
          <w:sz w:val="24"/>
          <w:szCs w:val="24"/>
        </w:rPr>
      </w:pPr>
      <w:r>
        <w:rPr>
          <w:rFonts w:hint="eastAsia"/>
          <w:sz w:val="24"/>
          <w:szCs w:val="24"/>
        </w:rPr>
        <w:t>2.1.1工商营业执照复印件</w:t>
      </w:r>
    </w:p>
    <w:p>
      <w:pPr>
        <w:spacing w:line="360" w:lineRule="auto"/>
        <w:ind w:firstLine="420"/>
        <w:rPr>
          <w:sz w:val="24"/>
          <w:szCs w:val="24"/>
        </w:rPr>
      </w:pPr>
      <w:r>
        <w:rPr>
          <w:rFonts w:hint="eastAsia"/>
          <w:sz w:val="24"/>
          <w:szCs w:val="24"/>
        </w:rPr>
        <w:t>2.1.2法人身份证复印件（若另有经办人，需提供授权书及被授权书的身份证复印件）</w:t>
      </w:r>
    </w:p>
    <w:p>
      <w:pPr>
        <w:spacing w:line="360" w:lineRule="auto"/>
        <w:ind w:firstLine="420"/>
        <w:rPr>
          <w:rFonts w:hint="eastAsia"/>
          <w:sz w:val="24"/>
          <w:szCs w:val="24"/>
        </w:rPr>
      </w:pPr>
      <w:r>
        <w:rPr>
          <w:rFonts w:hint="eastAsia"/>
          <w:sz w:val="24"/>
          <w:szCs w:val="24"/>
        </w:rPr>
        <w:t>2.1.3企业信用信息页（需含“营业执照信息、股东信息、主要人员信息”等，可在http://www.gsxt.gov.cn/index.html网址查询打印）</w:t>
      </w:r>
    </w:p>
    <w:p>
      <w:pPr>
        <w:pStyle w:val="7"/>
        <w:spacing w:line="360" w:lineRule="auto"/>
        <w:rPr>
          <w:rFonts w:hint="eastAsia"/>
          <w:b w:val="0"/>
          <w:bCs w:val="0"/>
          <w:sz w:val="28"/>
          <w:szCs w:val="28"/>
          <w:lang w:val="en-US" w:eastAsia="zh-CN"/>
        </w:rPr>
      </w:pPr>
      <w:r>
        <w:rPr>
          <w:rFonts w:hint="eastAsia"/>
          <w:sz w:val="24"/>
          <w:szCs w:val="24"/>
          <w:lang w:val="en-US" w:eastAsia="zh-CN"/>
        </w:rPr>
        <w:t xml:space="preserve">    2.1.4报价单（见附件一）</w:t>
      </w:r>
    </w:p>
    <w:p>
      <w:pPr>
        <w:pStyle w:val="8"/>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theme="minorBidi"/>
          <w:b w:val="0"/>
          <w:bCs w:val="0"/>
          <w:kern w:val="2"/>
          <w:sz w:val="28"/>
          <w:szCs w:val="28"/>
          <w:lang w:val="en-US" w:eastAsia="zh-CN" w:bidi="ar-SA"/>
        </w:rPr>
      </w:pPr>
      <w:r>
        <w:rPr>
          <w:rFonts w:hint="eastAsia" w:ascii="宋体" w:hAnsi="宋体" w:eastAsia="宋体" w:cstheme="minorBidi"/>
          <w:b w:val="0"/>
          <w:bCs w:val="0"/>
          <w:kern w:val="2"/>
          <w:sz w:val="28"/>
          <w:szCs w:val="28"/>
          <w:lang w:val="en-US" w:eastAsia="zh-CN" w:bidi="ar-SA"/>
        </w:rPr>
        <w:t>七、评分规则</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136"/>
        <w:gridCol w:w="745"/>
        <w:gridCol w:w="616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6" w:type="pct"/>
            <w:vAlign w:val="center"/>
          </w:tcPr>
          <w:p>
            <w:pPr>
              <w:ind w:firstLine="28"/>
              <w:jc w:val="center"/>
              <w:rPr>
                <w:rFonts w:ascii="宋体" w:hAnsi="宋体" w:cs="宋体"/>
                <w:b/>
                <w:bCs/>
                <w:szCs w:val="21"/>
                <w:highlight w:val="none"/>
              </w:rPr>
            </w:pPr>
            <w:r>
              <w:rPr>
                <w:rFonts w:hint="eastAsia" w:ascii="宋体" w:hAnsi="宋体" w:cs="宋体"/>
                <w:b/>
                <w:bCs/>
                <w:szCs w:val="21"/>
                <w:highlight w:val="none"/>
              </w:rPr>
              <w:t>序号</w:t>
            </w:r>
          </w:p>
        </w:tc>
        <w:tc>
          <w:tcPr>
            <w:tcW w:w="601" w:type="pct"/>
            <w:vAlign w:val="center"/>
          </w:tcPr>
          <w:p>
            <w:pPr>
              <w:ind w:firstLine="28"/>
              <w:jc w:val="center"/>
              <w:rPr>
                <w:rFonts w:ascii="宋体" w:hAnsi="宋体" w:cs="宋体"/>
                <w:b/>
                <w:bCs/>
                <w:szCs w:val="21"/>
                <w:highlight w:val="none"/>
              </w:rPr>
            </w:pPr>
            <w:r>
              <w:rPr>
                <w:rFonts w:hint="eastAsia" w:ascii="宋体" w:hAnsi="宋体" w:cs="宋体"/>
                <w:b/>
                <w:bCs/>
                <w:szCs w:val="21"/>
                <w:highlight w:val="none"/>
              </w:rPr>
              <w:t>评分因素</w:t>
            </w:r>
          </w:p>
          <w:p>
            <w:pPr>
              <w:ind w:firstLine="28"/>
              <w:jc w:val="center"/>
              <w:rPr>
                <w:rFonts w:ascii="宋体" w:hAnsi="宋体" w:cs="宋体"/>
                <w:b/>
                <w:bCs/>
                <w:szCs w:val="21"/>
                <w:highlight w:val="none"/>
              </w:rPr>
            </w:pPr>
            <w:r>
              <w:rPr>
                <w:rFonts w:hint="eastAsia" w:ascii="宋体" w:hAnsi="宋体" w:cs="宋体"/>
                <w:b/>
                <w:bCs/>
                <w:szCs w:val="21"/>
                <w:highlight w:val="none"/>
              </w:rPr>
              <w:t>及权重</w:t>
            </w:r>
          </w:p>
        </w:tc>
        <w:tc>
          <w:tcPr>
            <w:tcW w:w="394" w:type="pct"/>
            <w:vAlign w:val="center"/>
          </w:tcPr>
          <w:p>
            <w:pPr>
              <w:ind w:firstLine="28"/>
              <w:jc w:val="center"/>
              <w:rPr>
                <w:rFonts w:ascii="宋体" w:hAnsi="宋体" w:cs="宋体"/>
                <w:b/>
                <w:bCs/>
                <w:szCs w:val="21"/>
                <w:highlight w:val="none"/>
              </w:rPr>
            </w:pPr>
            <w:r>
              <w:rPr>
                <w:rFonts w:hint="eastAsia" w:ascii="宋体" w:hAnsi="宋体" w:cs="宋体"/>
                <w:b/>
                <w:bCs/>
                <w:szCs w:val="21"/>
                <w:highlight w:val="none"/>
              </w:rPr>
              <w:t>分值</w:t>
            </w:r>
          </w:p>
        </w:tc>
        <w:tc>
          <w:tcPr>
            <w:tcW w:w="3261" w:type="pct"/>
            <w:vAlign w:val="center"/>
          </w:tcPr>
          <w:p>
            <w:pPr>
              <w:ind w:firstLine="28"/>
              <w:jc w:val="center"/>
              <w:rPr>
                <w:rFonts w:ascii="宋体" w:hAnsi="宋体" w:cs="宋体"/>
                <w:b/>
                <w:bCs/>
                <w:szCs w:val="21"/>
                <w:highlight w:val="none"/>
              </w:rPr>
            </w:pPr>
            <w:r>
              <w:rPr>
                <w:rFonts w:hint="eastAsia" w:ascii="宋体" w:hAnsi="宋体" w:cs="宋体"/>
                <w:b/>
                <w:bCs/>
                <w:szCs w:val="21"/>
                <w:highlight w:val="none"/>
              </w:rPr>
              <w:t>评分标准</w:t>
            </w:r>
          </w:p>
        </w:tc>
        <w:tc>
          <w:tcPr>
            <w:tcW w:w="346" w:type="pct"/>
            <w:vAlign w:val="center"/>
          </w:tcPr>
          <w:p>
            <w:pPr>
              <w:jc w:val="center"/>
              <w:rPr>
                <w:rFonts w:ascii="宋体" w:hAnsi="宋体" w:cs="宋体"/>
                <w:b/>
                <w:bCs/>
                <w:szCs w:val="21"/>
                <w:highlight w:val="none"/>
              </w:rPr>
            </w:pPr>
            <w:r>
              <w:rPr>
                <w:rFonts w:hint="eastAsia" w:ascii="宋体" w:hAnsi="宋体" w:cs="宋体"/>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6" w:type="pct"/>
            <w:vAlign w:val="center"/>
          </w:tcPr>
          <w:p>
            <w:pPr>
              <w:ind w:firstLine="28"/>
              <w:jc w:val="center"/>
              <w:rPr>
                <w:rFonts w:ascii="宋体" w:hAnsi="宋体" w:cs="宋体"/>
                <w:szCs w:val="21"/>
                <w:highlight w:val="none"/>
              </w:rPr>
            </w:pPr>
            <w:r>
              <w:rPr>
                <w:rFonts w:hint="eastAsia" w:ascii="宋体" w:hAnsi="宋体" w:cs="宋体"/>
                <w:szCs w:val="21"/>
                <w:highlight w:val="none"/>
              </w:rPr>
              <w:t>1</w:t>
            </w:r>
          </w:p>
        </w:tc>
        <w:tc>
          <w:tcPr>
            <w:tcW w:w="601" w:type="pct"/>
            <w:vAlign w:val="center"/>
          </w:tcPr>
          <w:p>
            <w:pPr>
              <w:ind w:firstLine="28"/>
              <w:jc w:val="center"/>
              <w:rPr>
                <w:rFonts w:ascii="宋体" w:hAnsi="宋体" w:cs="宋体"/>
                <w:szCs w:val="21"/>
                <w:highlight w:val="none"/>
              </w:rPr>
            </w:pPr>
            <w:r>
              <w:rPr>
                <w:rFonts w:hint="eastAsia" w:ascii="宋体" w:hAnsi="宋体" w:cs="宋体"/>
                <w:szCs w:val="21"/>
                <w:highlight w:val="none"/>
              </w:rPr>
              <w:t>报价</w:t>
            </w:r>
          </w:p>
          <w:p>
            <w:pPr>
              <w:ind w:firstLine="28"/>
              <w:jc w:val="center"/>
              <w:rPr>
                <w:rFonts w:ascii="宋体" w:hAnsi="宋体" w:cs="宋体"/>
                <w:szCs w:val="21"/>
                <w:highlight w:val="none"/>
              </w:rPr>
            </w:pPr>
            <w:r>
              <w:rPr>
                <w:rFonts w:hint="eastAsia" w:ascii="宋体" w:hAnsi="宋体" w:cs="宋体"/>
                <w:szCs w:val="21"/>
                <w:highlight w:val="none"/>
              </w:rPr>
              <w:t>20%</w:t>
            </w:r>
          </w:p>
        </w:tc>
        <w:tc>
          <w:tcPr>
            <w:tcW w:w="394" w:type="pct"/>
            <w:vAlign w:val="center"/>
          </w:tcPr>
          <w:p>
            <w:pPr>
              <w:ind w:firstLine="28"/>
              <w:jc w:val="center"/>
              <w:rPr>
                <w:rFonts w:ascii="宋体" w:hAnsi="宋体" w:cs="宋体"/>
                <w:szCs w:val="21"/>
                <w:highlight w:val="none"/>
              </w:rPr>
            </w:pPr>
            <w:r>
              <w:rPr>
                <w:rFonts w:hint="eastAsia" w:ascii="宋体" w:hAnsi="宋体" w:cs="宋体"/>
                <w:szCs w:val="21"/>
                <w:highlight w:val="none"/>
              </w:rPr>
              <w:t>20分</w:t>
            </w:r>
          </w:p>
        </w:tc>
        <w:tc>
          <w:tcPr>
            <w:tcW w:w="3261" w:type="pct"/>
            <w:vAlign w:val="center"/>
          </w:tcPr>
          <w:p>
            <w:pPr>
              <w:ind w:firstLine="420" w:firstLineChars="200"/>
              <w:rPr>
                <w:rFonts w:ascii="宋体" w:hAnsi="宋体" w:cs="宋体"/>
                <w:szCs w:val="21"/>
                <w:highlight w:val="none"/>
              </w:rPr>
            </w:pPr>
            <w:r>
              <w:rPr>
                <w:rFonts w:hint="eastAsia" w:ascii="宋体" w:hAnsi="宋体" w:cs="宋体"/>
                <w:szCs w:val="21"/>
                <w:highlight w:val="none"/>
              </w:rPr>
              <w:t>满足磋商文件要求且价格最低的响应报价为评审基准价，其价格分为满分。其他供应商的价格分统一按照下列公式计算：响应报价得分=(评审基准价／响应报价)*20分</w:t>
            </w:r>
          </w:p>
        </w:tc>
        <w:tc>
          <w:tcPr>
            <w:tcW w:w="346" w:type="pct"/>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vAlign w:val="center"/>
          </w:tcPr>
          <w:p>
            <w:pPr>
              <w:jc w:val="center"/>
              <w:rPr>
                <w:rFonts w:ascii="宋体" w:hAnsi="宋体" w:cs="宋体"/>
                <w:szCs w:val="21"/>
                <w:highlight w:val="none"/>
              </w:rPr>
            </w:pPr>
            <w:r>
              <w:rPr>
                <w:rFonts w:hint="eastAsia" w:ascii="宋体" w:hAnsi="宋体" w:cs="宋体"/>
                <w:bCs/>
                <w:szCs w:val="21"/>
                <w:highlight w:val="none"/>
              </w:rPr>
              <w:t>2</w:t>
            </w:r>
          </w:p>
        </w:tc>
        <w:tc>
          <w:tcPr>
            <w:tcW w:w="1123" w:type="dxa"/>
            <w:vAlign w:val="center"/>
          </w:tcPr>
          <w:p>
            <w:pPr>
              <w:jc w:val="center"/>
              <w:rPr>
                <w:rFonts w:ascii="宋体" w:hAnsi="宋体" w:cs="宋体"/>
                <w:szCs w:val="21"/>
                <w:highlight w:val="none"/>
              </w:rPr>
            </w:pPr>
            <w:r>
              <w:rPr>
                <w:rFonts w:hint="eastAsia" w:ascii="宋体" w:hAnsi="宋体" w:cs="宋体"/>
                <w:szCs w:val="21"/>
                <w:highlight w:val="none"/>
              </w:rPr>
              <w:t>履约能力15%</w:t>
            </w:r>
          </w:p>
        </w:tc>
        <w:tc>
          <w:tcPr>
            <w:tcW w:w="736" w:type="dxa"/>
            <w:vAlign w:val="center"/>
          </w:tcPr>
          <w:p>
            <w:pPr>
              <w:jc w:val="center"/>
              <w:rPr>
                <w:rFonts w:ascii="宋体" w:hAnsi="宋体" w:cs="宋体"/>
                <w:szCs w:val="21"/>
                <w:highlight w:val="none"/>
              </w:rPr>
            </w:pPr>
            <w:r>
              <w:rPr>
                <w:rFonts w:hint="eastAsia" w:ascii="宋体" w:hAnsi="宋体" w:cs="宋体"/>
                <w:szCs w:val="21"/>
                <w:highlight w:val="none"/>
              </w:rPr>
              <w:t>15分</w:t>
            </w:r>
          </w:p>
        </w:tc>
        <w:tc>
          <w:tcPr>
            <w:tcW w:w="6093" w:type="dxa"/>
            <w:vAlign w:val="center"/>
          </w:tcPr>
          <w:p>
            <w:pPr>
              <w:ind w:firstLine="420" w:firstLineChars="200"/>
              <w:rPr>
                <w:rFonts w:ascii="宋体" w:hAnsi="宋体" w:cs="宋体"/>
                <w:szCs w:val="21"/>
                <w:highlight w:val="none"/>
              </w:rPr>
            </w:pPr>
            <w:r>
              <w:rPr>
                <w:rFonts w:hint="eastAsia" w:ascii="宋体" w:hAnsi="宋体" w:cs="宋体"/>
                <w:szCs w:val="21"/>
                <w:highlight w:val="none"/>
              </w:rPr>
              <w:t>供应商提供自20</w:t>
            </w:r>
            <w:r>
              <w:rPr>
                <w:rFonts w:hint="eastAsia" w:ascii="宋体" w:hAnsi="宋体" w:cs="宋体"/>
                <w:szCs w:val="21"/>
                <w:highlight w:val="none"/>
                <w:lang w:val="en-US" w:eastAsia="zh-CN"/>
              </w:rPr>
              <w:t>20</w:t>
            </w:r>
            <w:r>
              <w:rPr>
                <w:rFonts w:hint="eastAsia" w:ascii="宋体" w:hAnsi="宋体" w:cs="宋体"/>
                <w:szCs w:val="21"/>
                <w:highlight w:val="none"/>
              </w:rPr>
              <w:t>年1月1日（含1日）以来类似业绩，每有1个得5分，最多得15分；</w:t>
            </w:r>
          </w:p>
          <w:p>
            <w:pPr>
              <w:rPr>
                <w:rFonts w:ascii="宋体" w:hAnsi="宋体" w:cs="宋体"/>
                <w:szCs w:val="21"/>
                <w:highlight w:val="none"/>
              </w:rPr>
            </w:pPr>
            <w:r>
              <w:rPr>
                <w:rFonts w:hint="eastAsia" w:ascii="宋体" w:hAnsi="宋体" w:cs="宋体"/>
                <w:b/>
                <w:szCs w:val="21"/>
                <w:highlight w:val="none"/>
              </w:rPr>
              <w:t>注：类似业绩是指建筑装饰工程类设计业绩，提供中标（成交）通知书复印件或合同复印件并加盖鲜章。</w:t>
            </w:r>
          </w:p>
        </w:tc>
        <w:tc>
          <w:tcPr>
            <w:tcW w:w="346" w:type="pct"/>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vAlign w:val="center"/>
          </w:tcPr>
          <w:p>
            <w:pPr>
              <w:jc w:val="center"/>
              <w:rPr>
                <w:rFonts w:ascii="宋体" w:hAnsi="宋体" w:cs="宋体"/>
                <w:szCs w:val="21"/>
                <w:highlight w:val="none"/>
              </w:rPr>
            </w:pPr>
            <w:r>
              <w:rPr>
                <w:rFonts w:hint="eastAsia" w:ascii="宋体" w:hAnsi="宋体" w:cs="宋体"/>
                <w:szCs w:val="21"/>
                <w:highlight w:val="none"/>
              </w:rPr>
              <w:t>3</w:t>
            </w:r>
          </w:p>
        </w:tc>
        <w:tc>
          <w:tcPr>
            <w:tcW w:w="1123" w:type="dxa"/>
            <w:vAlign w:val="center"/>
          </w:tcPr>
          <w:p>
            <w:pPr>
              <w:jc w:val="center"/>
              <w:rPr>
                <w:rFonts w:ascii="宋体" w:hAnsi="宋体" w:cs="宋体"/>
                <w:szCs w:val="21"/>
                <w:highlight w:val="none"/>
              </w:rPr>
            </w:pPr>
            <w:r>
              <w:rPr>
                <w:rFonts w:hint="eastAsia" w:ascii="宋体" w:hAnsi="宋体" w:cs="宋体"/>
                <w:szCs w:val="21"/>
                <w:highlight w:val="none"/>
              </w:rPr>
              <w:t>人员配置17%</w:t>
            </w:r>
          </w:p>
        </w:tc>
        <w:tc>
          <w:tcPr>
            <w:tcW w:w="736" w:type="dxa"/>
            <w:vAlign w:val="center"/>
          </w:tcPr>
          <w:p>
            <w:pPr>
              <w:jc w:val="center"/>
              <w:rPr>
                <w:rFonts w:ascii="宋体" w:hAnsi="宋体" w:cs="宋体"/>
                <w:szCs w:val="21"/>
                <w:highlight w:val="none"/>
              </w:rPr>
            </w:pPr>
            <w:r>
              <w:rPr>
                <w:rFonts w:hint="eastAsia" w:ascii="宋体" w:hAnsi="宋体" w:cs="宋体"/>
                <w:szCs w:val="21"/>
                <w:highlight w:val="none"/>
              </w:rPr>
              <w:t>17分</w:t>
            </w:r>
          </w:p>
        </w:tc>
        <w:tc>
          <w:tcPr>
            <w:tcW w:w="6093"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highlight w:val="none"/>
              </w:rPr>
            </w:pPr>
            <w:r>
              <w:rPr>
                <w:rFonts w:hint="eastAsia" w:ascii="宋体" w:hAnsi="宋体" w:cs="宋体"/>
                <w:szCs w:val="21"/>
                <w:highlight w:val="none"/>
              </w:rPr>
              <w:t>1、项目</w:t>
            </w:r>
            <w:r>
              <w:rPr>
                <w:rFonts w:hint="eastAsia" w:cs="仿宋_GB2312"/>
                <w:szCs w:val="21"/>
                <w:highlight w:val="none"/>
              </w:rPr>
              <w:t>负</w:t>
            </w:r>
            <w:r>
              <w:rPr>
                <w:rFonts w:hint="eastAsia"/>
                <w:szCs w:val="21"/>
                <w:highlight w:val="none"/>
              </w:rPr>
              <w:t>责人：</w:t>
            </w:r>
            <w:r>
              <w:rPr>
                <w:rFonts w:hint="eastAsia" w:ascii="宋体" w:hAnsi="宋体" w:cs="宋体"/>
                <w:szCs w:val="21"/>
                <w:highlight w:val="none"/>
              </w:rPr>
              <w:t>具有建筑类中级及以上职称的得5分。本项最多得5分。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宋体" w:hAnsi="宋体" w:cs="宋体"/>
                <w:szCs w:val="21"/>
                <w:highlight w:val="none"/>
              </w:rPr>
            </w:pPr>
            <w:r>
              <w:rPr>
                <w:rFonts w:hint="eastAsia" w:ascii="宋体" w:hAnsi="宋体" w:cs="宋体"/>
                <w:szCs w:val="21"/>
                <w:highlight w:val="none"/>
              </w:rPr>
              <w:t>2、技术负责人：具有建筑类高级职称的得5分。本项最多得5分。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szCs w:val="21"/>
                <w:highlight w:val="none"/>
              </w:rPr>
            </w:pPr>
            <w:r>
              <w:rPr>
                <w:rFonts w:hint="eastAsia" w:ascii="宋体" w:hAnsi="宋体" w:cs="宋体"/>
                <w:szCs w:val="21"/>
                <w:highlight w:val="none"/>
              </w:rPr>
              <w:t>3、设计人员：每具有一名具有建筑类中级职称的得3.5分，本项最多得7分。</w:t>
            </w:r>
          </w:p>
          <w:p>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cs="宋体"/>
                <w:color w:val="auto"/>
                <w:highlight w:val="none"/>
              </w:rPr>
            </w:pPr>
            <w:r>
              <w:rPr>
                <w:rFonts w:hint="eastAsia" w:cs="宋体"/>
                <w:b/>
                <w:bCs/>
                <w:color w:val="auto"/>
                <w:highlight w:val="none"/>
              </w:rPr>
              <w:t>注：以上人员不重复得分，提供相关证书复印件加盖公章</w:t>
            </w:r>
            <w:r>
              <w:rPr>
                <w:rFonts w:hint="eastAsia" w:cs="宋体"/>
                <w:color w:val="auto"/>
                <w:highlight w:val="none"/>
              </w:rPr>
              <w:t>。</w:t>
            </w:r>
          </w:p>
        </w:tc>
        <w:tc>
          <w:tcPr>
            <w:tcW w:w="346" w:type="pct"/>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0" w:type="dxa"/>
            <w:vAlign w:val="center"/>
          </w:tcPr>
          <w:p>
            <w:pPr>
              <w:jc w:val="center"/>
              <w:rPr>
                <w:rFonts w:ascii="宋体" w:hAnsi="宋体" w:cs="宋体"/>
                <w:szCs w:val="21"/>
                <w:highlight w:val="none"/>
              </w:rPr>
            </w:pPr>
            <w:r>
              <w:rPr>
                <w:rFonts w:hint="eastAsia" w:ascii="宋体" w:hAnsi="宋体" w:cs="宋体"/>
                <w:szCs w:val="21"/>
                <w:highlight w:val="none"/>
              </w:rPr>
              <w:t>4</w:t>
            </w:r>
          </w:p>
        </w:tc>
        <w:tc>
          <w:tcPr>
            <w:tcW w:w="1123" w:type="dxa"/>
            <w:vAlign w:val="center"/>
          </w:tcPr>
          <w:p>
            <w:pPr>
              <w:topLinePunct/>
              <w:jc w:val="center"/>
              <w:rPr>
                <w:rFonts w:ascii="宋体" w:hAnsi="宋体" w:cs="宋体"/>
                <w:szCs w:val="21"/>
                <w:highlight w:val="none"/>
              </w:rPr>
            </w:pPr>
            <w:r>
              <w:rPr>
                <w:rFonts w:hint="eastAsia" w:ascii="宋体" w:hAnsi="宋体" w:cs="宋体"/>
                <w:szCs w:val="21"/>
                <w:highlight w:val="none"/>
              </w:rPr>
              <w:t>服务方案</w:t>
            </w:r>
          </w:p>
          <w:p>
            <w:pPr>
              <w:jc w:val="center"/>
              <w:rPr>
                <w:rFonts w:ascii="宋体" w:hAnsi="宋体" w:cs="宋体"/>
                <w:szCs w:val="21"/>
                <w:highlight w:val="none"/>
              </w:rPr>
            </w:pPr>
            <w:r>
              <w:rPr>
                <w:rFonts w:hint="eastAsia" w:ascii="宋体" w:hAnsi="宋体" w:cs="宋体"/>
                <w:szCs w:val="21"/>
                <w:highlight w:val="none"/>
              </w:rPr>
              <w:t>48%</w:t>
            </w:r>
          </w:p>
        </w:tc>
        <w:tc>
          <w:tcPr>
            <w:tcW w:w="736" w:type="dxa"/>
            <w:vAlign w:val="center"/>
          </w:tcPr>
          <w:p>
            <w:pPr>
              <w:ind w:firstLine="28"/>
              <w:jc w:val="center"/>
              <w:rPr>
                <w:rFonts w:ascii="宋体" w:hAnsi="宋体" w:cs="宋体"/>
                <w:szCs w:val="21"/>
                <w:highlight w:val="none"/>
              </w:rPr>
            </w:pPr>
            <w:r>
              <w:rPr>
                <w:rFonts w:hint="eastAsia" w:ascii="宋体" w:hAnsi="宋体" w:cs="宋体"/>
                <w:szCs w:val="21"/>
                <w:highlight w:val="none"/>
              </w:rPr>
              <w:t>48分</w:t>
            </w:r>
          </w:p>
        </w:tc>
        <w:tc>
          <w:tcPr>
            <w:tcW w:w="6093" w:type="dxa"/>
            <w:vAlign w:val="center"/>
          </w:tcPr>
          <w:p>
            <w:pPr>
              <w:ind w:firstLine="420" w:firstLineChars="200"/>
              <w:rPr>
                <w:szCs w:val="21"/>
                <w:highlight w:val="none"/>
              </w:rPr>
            </w:pPr>
            <w:r>
              <w:rPr>
                <w:rFonts w:hint="eastAsia" w:ascii="宋体" w:hAnsi="宋体" w:cs="宋体"/>
                <w:szCs w:val="21"/>
                <w:highlight w:val="none"/>
              </w:rPr>
              <w:t>根据供应商针对本项目提供的服务方案进行综合评审，内容包括：</w:t>
            </w:r>
            <w:r>
              <w:rPr>
                <w:rFonts w:hint="eastAsia" w:ascii="宋体" w:hAnsi="宋体" w:cs="宋体"/>
                <w:b/>
                <w:bCs/>
                <w:szCs w:val="21"/>
                <w:highlight w:val="none"/>
              </w:rPr>
              <w:t>①项目现状分析及重难点分析；②项目实施计划；③内部管理措施；④突发事件处置方案；⑤进度安排；⑥分工安排；⑦质量保障措施；⑧设计后续服务工作安排</w:t>
            </w:r>
            <w:r>
              <w:rPr>
                <w:rFonts w:hint="eastAsia" w:ascii="宋体" w:hAnsi="宋体" w:cs="宋体"/>
                <w:szCs w:val="21"/>
                <w:highlight w:val="none"/>
              </w:rPr>
              <w:t>。内容齐全且符合本项目特点及实际情况，满足项目实际要求的得48分。每有一项内容缺失扣6分，每有一项存在内容缺陷的扣3分，扣完为止。（缺陷是指内容与实际情况不匹配、凭空编造、存在逻辑漏洞、科学原理错误、不可能实现的夸大情形以及涉及的规范标准与本项目要求不一致、内容简略、内容与本项目无关等任意一种情形）</w:t>
            </w:r>
          </w:p>
        </w:tc>
        <w:tc>
          <w:tcPr>
            <w:tcW w:w="346" w:type="pct"/>
            <w:vAlign w:val="center"/>
          </w:tcPr>
          <w:p>
            <w:pPr>
              <w:jc w:val="center"/>
              <w:rPr>
                <w:rFonts w:ascii="宋体" w:hAnsi="宋体" w:cs="宋体"/>
                <w:szCs w:val="21"/>
                <w:highlight w:val="none"/>
              </w:rPr>
            </w:pPr>
          </w:p>
        </w:tc>
      </w:tr>
    </w:tbl>
    <w:p>
      <w:pPr>
        <w:numPr>
          <w:ilvl w:val="0"/>
          <w:numId w:val="0"/>
        </w:numPr>
        <w:rPr>
          <w:rFonts w:hint="eastAsia"/>
          <w:lang w:val="en-US" w:eastAsia="zh-CN"/>
        </w:rPr>
      </w:pPr>
    </w:p>
    <w:p>
      <w:pPr>
        <w:spacing w:line="360" w:lineRule="auto"/>
        <w:rPr>
          <w:sz w:val="28"/>
          <w:szCs w:val="28"/>
        </w:rPr>
      </w:pPr>
      <w:r>
        <w:rPr>
          <w:rFonts w:hint="eastAsia"/>
          <w:sz w:val="28"/>
          <w:szCs w:val="28"/>
          <w:lang w:eastAsia="zh-CN"/>
        </w:rPr>
        <w:t>八、</w:t>
      </w:r>
      <w:r>
        <w:rPr>
          <w:rFonts w:hint="eastAsia"/>
          <w:sz w:val="28"/>
          <w:szCs w:val="28"/>
        </w:rPr>
        <w:t>联系方式：</w:t>
      </w:r>
    </w:p>
    <w:p>
      <w:pPr>
        <w:spacing w:line="360" w:lineRule="auto"/>
        <w:ind w:firstLine="420"/>
        <w:rPr>
          <w:sz w:val="24"/>
          <w:szCs w:val="24"/>
        </w:rPr>
      </w:pPr>
      <w:r>
        <w:rPr>
          <w:rFonts w:hint="eastAsia"/>
          <w:sz w:val="24"/>
          <w:szCs w:val="24"/>
        </w:rPr>
        <w:t>联系人：牟老师   85193760-8205</w:t>
      </w:r>
    </w:p>
    <w:p>
      <w:pPr>
        <w:spacing w:line="360" w:lineRule="auto"/>
        <w:ind w:firstLine="420"/>
        <w:jc w:val="right"/>
        <w:rPr>
          <w:sz w:val="24"/>
          <w:szCs w:val="24"/>
        </w:rPr>
      </w:pPr>
      <w:r>
        <w:rPr>
          <w:rFonts w:hint="eastAsia"/>
          <w:sz w:val="24"/>
          <w:szCs w:val="24"/>
        </w:rPr>
        <w:t>成都市泡桐树小学（天府校区）</w:t>
      </w:r>
    </w:p>
    <w:p>
      <w:pPr>
        <w:spacing w:line="360" w:lineRule="auto"/>
        <w:ind w:firstLine="420"/>
        <w:jc w:val="right"/>
        <w:rPr>
          <w:rFonts w:hint="eastAsia"/>
          <w:color w:val="auto"/>
          <w:sz w:val="24"/>
          <w:szCs w:val="24"/>
        </w:rPr>
      </w:pPr>
      <w:r>
        <w:rPr>
          <w:rFonts w:hint="eastAsia"/>
          <w:color w:val="auto"/>
          <w:sz w:val="24"/>
          <w:szCs w:val="24"/>
        </w:rPr>
        <w:t xml:space="preserve"> 202</w:t>
      </w:r>
      <w:r>
        <w:rPr>
          <w:rFonts w:hint="eastAsia"/>
          <w:color w:val="auto"/>
          <w:sz w:val="24"/>
          <w:szCs w:val="24"/>
          <w:lang w:val="en-US" w:eastAsia="zh-CN"/>
        </w:rPr>
        <w:t>4</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6</w:t>
      </w:r>
      <w:r>
        <w:rPr>
          <w:rFonts w:hint="eastAsia"/>
          <w:color w:val="auto"/>
          <w:sz w:val="24"/>
          <w:szCs w:val="24"/>
        </w:rPr>
        <w:t>日</w:t>
      </w:r>
    </w:p>
    <w:p>
      <w:pPr>
        <w:pStyle w:val="7"/>
        <w:rPr>
          <w:rFonts w:hint="eastAsia"/>
          <w:lang w:val="en-US" w:eastAsia="zh-CN"/>
        </w:rPr>
      </w:pPr>
    </w:p>
    <w:p>
      <w:pPr>
        <w:rPr>
          <w:b/>
          <w:bCs/>
          <w:sz w:val="28"/>
          <w:szCs w:val="28"/>
        </w:rPr>
      </w:pPr>
      <w:r>
        <w:rPr>
          <w:rFonts w:hint="eastAsia"/>
          <w:b/>
          <w:bCs/>
          <w:sz w:val="28"/>
          <w:szCs w:val="28"/>
        </w:rPr>
        <w:t>附件一：《报价单》</w:t>
      </w:r>
    </w:p>
    <w:p>
      <w:pPr>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成都市泡桐树小学（天府校区）</w:t>
      </w:r>
    </w:p>
    <w:p>
      <w:pPr>
        <w:jc w:val="center"/>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lang w:val="en-US" w:eastAsia="zh-CN"/>
        </w:rPr>
        <w:t>2024提升修缮工程设计服务</w:t>
      </w:r>
      <w:r>
        <w:rPr>
          <w:rFonts w:hint="eastAsia" w:ascii="微软雅黑" w:hAnsi="微软雅黑" w:eastAsia="微软雅黑" w:cs="微软雅黑"/>
          <w:b/>
          <w:color w:val="000000"/>
          <w:sz w:val="28"/>
          <w:szCs w:val="28"/>
        </w:rPr>
        <w:t>报价单</w:t>
      </w: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rPr>
      </w:pP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u w:val="single"/>
          <w:lang w:val="en-US" w:eastAsia="zh-CN"/>
        </w:rPr>
      </w:pPr>
      <w:r>
        <w:rPr>
          <w:rFonts w:hint="eastAsia" w:asciiTheme="minorEastAsia" w:hAnsiTheme="minorEastAsia" w:eastAsiaTheme="minorEastAsia" w:cstheme="minorEastAsia"/>
          <w:b w:val="0"/>
          <w:bCs/>
          <w:sz w:val="28"/>
          <w:szCs w:val="28"/>
        </w:rPr>
        <w:t>单位名称：</w:t>
      </w:r>
      <w:r>
        <w:rPr>
          <w:rFonts w:hint="eastAsia" w:asciiTheme="minorEastAsia" w:hAnsiTheme="minorEastAsia" w:eastAsiaTheme="minorEastAsia" w:cstheme="minorEastAsia"/>
          <w:b w:val="0"/>
          <w:bCs/>
          <w:sz w:val="28"/>
          <w:szCs w:val="28"/>
          <w:u w:val="single"/>
          <w:lang w:val="en-US" w:eastAsia="zh-CN"/>
        </w:rPr>
        <w:t xml:space="preserve">                                                </w:t>
      </w: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rPr>
      </w:pP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u w:val="single"/>
          <w:lang w:val="en-US" w:eastAsia="zh-CN"/>
        </w:rPr>
      </w:pPr>
      <w:r>
        <w:rPr>
          <w:rFonts w:hint="eastAsia" w:asciiTheme="minorEastAsia" w:hAnsiTheme="minorEastAsia" w:eastAsiaTheme="minorEastAsia" w:cstheme="minorEastAsia"/>
          <w:b w:val="0"/>
          <w:bCs/>
          <w:sz w:val="28"/>
          <w:szCs w:val="28"/>
        </w:rPr>
        <w:t>联系人：</w:t>
      </w: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u w:val="single"/>
          <w:lang w:val="en-US" w:eastAsia="zh-CN"/>
        </w:rPr>
        <w:t xml:space="preserve">                                                </w:t>
      </w: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rPr>
      </w:pP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u w:val="single"/>
          <w:lang w:val="en-US" w:eastAsia="zh-CN"/>
        </w:rPr>
      </w:pPr>
      <w:r>
        <w:rPr>
          <w:rFonts w:hint="eastAsia" w:asciiTheme="minorEastAsia" w:hAnsiTheme="minorEastAsia" w:eastAsiaTheme="minorEastAsia" w:cstheme="minorEastAsia"/>
          <w:b w:val="0"/>
          <w:bCs/>
          <w:sz w:val="28"/>
          <w:szCs w:val="28"/>
        </w:rPr>
        <w:t>联系电话：</w:t>
      </w:r>
      <w:r>
        <w:rPr>
          <w:rFonts w:hint="eastAsia" w:asciiTheme="minorEastAsia" w:hAnsiTheme="minorEastAsia" w:eastAsiaTheme="minorEastAsia" w:cstheme="minorEastAsia"/>
          <w:b w:val="0"/>
          <w:bCs/>
          <w:sz w:val="28"/>
          <w:szCs w:val="28"/>
          <w:u w:val="single"/>
          <w:lang w:val="en-US" w:eastAsia="zh-CN"/>
        </w:rPr>
        <w:t xml:space="preserve">                                                </w:t>
      </w: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rPr>
      </w:pPr>
    </w:p>
    <w:p>
      <w:pPr>
        <w:keepNext w:val="0"/>
        <w:keepLines w:val="0"/>
        <w:pageBreakBefore w:val="0"/>
        <w:widowControl w:val="0"/>
        <w:tabs>
          <w:tab w:val="left" w:pos="4761"/>
        </w:tabs>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报价日期：      年    月    日</w:t>
      </w:r>
    </w:p>
    <w:p>
      <w:pPr>
        <w:rPr>
          <w:rFonts w:hint="eastAsia" w:asciiTheme="minorEastAsia" w:hAnsiTheme="minorEastAsia" w:eastAsiaTheme="minorEastAsia" w:cstheme="minorEastAsia"/>
          <w:b w:val="0"/>
          <w:bCs/>
          <w:sz w:val="28"/>
          <w:szCs w:val="28"/>
          <w:lang w:eastAsia="zh-CN"/>
        </w:rPr>
      </w:pPr>
    </w:p>
    <w:p>
      <w:pPr>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b w:val="0"/>
          <w:bCs/>
          <w:sz w:val="28"/>
          <w:szCs w:val="28"/>
          <w:lang w:eastAsia="zh-CN"/>
        </w:rPr>
        <w:t>报价：</w:t>
      </w:r>
      <w:r>
        <w:rPr>
          <w:rFonts w:hint="eastAsia" w:asciiTheme="minorEastAsia" w:hAnsiTheme="minorEastAsia" w:eastAsiaTheme="minorEastAsia" w:cstheme="minorEastAsia"/>
          <w:b w:val="0"/>
          <w:bCs/>
          <w:sz w:val="28"/>
          <w:szCs w:val="28"/>
          <w:u w:val="single"/>
          <w:lang w:val="en-US" w:eastAsia="zh-CN"/>
        </w:rPr>
        <w:t xml:space="preserve">      </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z w:val="28"/>
          <w:szCs w:val="28"/>
          <w:lang w:val="en-US" w:eastAsia="zh-CN"/>
        </w:rPr>
        <w:t>元/年（大写：                         ）</w:t>
      </w:r>
    </w:p>
    <w:p>
      <w:pPr>
        <w:rPr>
          <w:rFonts w:hint="eastAsia"/>
          <w:b/>
          <w:bCs/>
          <w:sz w:val="24"/>
        </w:rPr>
      </w:pPr>
    </w:p>
    <w:p>
      <w:pPr>
        <w:rPr>
          <w:rFonts w:hint="eastAsia"/>
          <w:b/>
          <w:bCs/>
          <w:sz w:val="24"/>
        </w:rPr>
      </w:pPr>
    </w:p>
    <w:p>
      <w:pPr>
        <w:rPr>
          <w:rFonts w:hint="eastAsia"/>
          <w:b/>
          <w:bCs/>
          <w:sz w:val="24"/>
        </w:rPr>
      </w:pPr>
    </w:p>
    <w:p>
      <w:pPr>
        <w:rPr>
          <w:rFonts w:hint="eastAsia"/>
          <w:b/>
          <w:bCs/>
          <w:sz w:val="24"/>
        </w:rPr>
      </w:pPr>
    </w:p>
    <w:p>
      <w:pPr>
        <w:rPr>
          <w:sz w:val="24"/>
        </w:rPr>
      </w:pPr>
      <w:r>
        <w:rPr>
          <w:rFonts w:hint="eastAsia"/>
          <w:b/>
          <w:bCs/>
          <w:sz w:val="24"/>
        </w:rPr>
        <w:t>注：</w:t>
      </w:r>
      <w:r>
        <w:rPr>
          <w:rFonts w:hint="eastAsia"/>
          <w:sz w:val="24"/>
        </w:rPr>
        <w:t>报价为含税开票价格，并为一次性报价，在确保满足参数要求的前提下报价不能超过预算价</w:t>
      </w:r>
      <w:r>
        <w:rPr>
          <w:rFonts w:hint="eastAsia"/>
          <w:color w:val="auto"/>
          <w:sz w:val="24"/>
          <w:lang w:val="en-US" w:eastAsia="zh-CN"/>
        </w:rPr>
        <w:t>75500</w:t>
      </w:r>
      <w:r>
        <w:rPr>
          <w:rFonts w:hint="eastAsia"/>
          <w:sz w:val="24"/>
        </w:rPr>
        <w:t>元</w:t>
      </w:r>
      <w:r>
        <w:rPr>
          <w:rFonts w:hint="eastAsia"/>
          <w:sz w:val="24"/>
          <w:lang w:val="en-US" w:eastAsia="zh-CN"/>
        </w:rPr>
        <w:t>/年</w:t>
      </w:r>
      <w:r>
        <w:rPr>
          <w:rFonts w:hint="eastAsia"/>
          <w:sz w:val="24"/>
        </w:rPr>
        <w:t>，否则视为无效报价；所供产品或服务的规格及质量应达到国家标准。</w:t>
      </w:r>
    </w:p>
    <w:p>
      <w:pPr>
        <w:pStyle w:val="8"/>
        <w:rPr>
          <w:rFonts w:hint="eastAsia"/>
          <w:lang w:val="en-US" w:eastAsia="zh-CN"/>
        </w:rPr>
      </w:pPr>
    </w:p>
    <w:p>
      <w:pPr>
        <w:pStyle w:val="4"/>
        <w:ind w:left="0" w:leftChars="0" w:firstLine="0" w:firstLineChars="0"/>
        <w:rPr>
          <w:rFonts w:hint="eastAsia"/>
          <w:lang w:val="en-US" w:eastAsia="zh-CN"/>
        </w:rPr>
      </w:pPr>
      <w:bookmarkStart w:id="0" w:name="_GoBack"/>
      <w:bookmarkEnd w:id="0"/>
    </w:p>
    <w:sectPr>
      <w:pgSz w:w="11906" w:h="16838"/>
      <w:pgMar w:top="600" w:right="1286" w:bottom="6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N2U4OTU3NWExZDJmNmEyYzU0MzdhMTUyYzkwZmUifQ=="/>
  </w:docVars>
  <w:rsids>
    <w:rsidRoot w:val="007A5E55"/>
    <w:rsid w:val="000D0589"/>
    <w:rsid w:val="00521921"/>
    <w:rsid w:val="005444C9"/>
    <w:rsid w:val="007A5E55"/>
    <w:rsid w:val="008B78F2"/>
    <w:rsid w:val="01590630"/>
    <w:rsid w:val="05971B3D"/>
    <w:rsid w:val="059D09F2"/>
    <w:rsid w:val="0C6B64E4"/>
    <w:rsid w:val="0C74486D"/>
    <w:rsid w:val="0DE57BD3"/>
    <w:rsid w:val="0E654A87"/>
    <w:rsid w:val="101D4830"/>
    <w:rsid w:val="105921EF"/>
    <w:rsid w:val="105A1E32"/>
    <w:rsid w:val="115C1003"/>
    <w:rsid w:val="120B6191"/>
    <w:rsid w:val="14B02BF7"/>
    <w:rsid w:val="15367319"/>
    <w:rsid w:val="15CB7F30"/>
    <w:rsid w:val="166812AF"/>
    <w:rsid w:val="195031B3"/>
    <w:rsid w:val="1961157A"/>
    <w:rsid w:val="1ABD5105"/>
    <w:rsid w:val="1BC028B8"/>
    <w:rsid w:val="1CDB48F5"/>
    <w:rsid w:val="1E420172"/>
    <w:rsid w:val="1E4673C7"/>
    <w:rsid w:val="1EE3413B"/>
    <w:rsid w:val="21162D53"/>
    <w:rsid w:val="29E86567"/>
    <w:rsid w:val="29ED4990"/>
    <w:rsid w:val="2DAD45B2"/>
    <w:rsid w:val="30B14CC5"/>
    <w:rsid w:val="318F3BCB"/>
    <w:rsid w:val="38545D1F"/>
    <w:rsid w:val="3AE63954"/>
    <w:rsid w:val="3BB12048"/>
    <w:rsid w:val="3C4B1B7A"/>
    <w:rsid w:val="3D4E7CEB"/>
    <w:rsid w:val="3DEF2ED4"/>
    <w:rsid w:val="420C7940"/>
    <w:rsid w:val="43A166C0"/>
    <w:rsid w:val="453E313B"/>
    <w:rsid w:val="4767287E"/>
    <w:rsid w:val="47F46B2A"/>
    <w:rsid w:val="48144482"/>
    <w:rsid w:val="48356E5A"/>
    <w:rsid w:val="4934622D"/>
    <w:rsid w:val="4A457B43"/>
    <w:rsid w:val="4C3C3B81"/>
    <w:rsid w:val="4CC07861"/>
    <w:rsid w:val="4D73213F"/>
    <w:rsid w:val="4D746C06"/>
    <w:rsid w:val="4DC01311"/>
    <w:rsid w:val="57EF64D0"/>
    <w:rsid w:val="5A297BD9"/>
    <w:rsid w:val="5A4D5BFE"/>
    <w:rsid w:val="5DC72CFB"/>
    <w:rsid w:val="5DE97726"/>
    <w:rsid w:val="5E7469EA"/>
    <w:rsid w:val="5F2D53AA"/>
    <w:rsid w:val="60587A04"/>
    <w:rsid w:val="672A1E6E"/>
    <w:rsid w:val="6AEF57F7"/>
    <w:rsid w:val="6E107181"/>
    <w:rsid w:val="6EBD6337"/>
    <w:rsid w:val="73A57AB3"/>
    <w:rsid w:val="75F41B61"/>
    <w:rsid w:val="781B4C84"/>
    <w:rsid w:val="782E59C7"/>
    <w:rsid w:val="79DC1BF2"/>
    <w:rsid w:val="7BD3022A"/>
    <w:rsid w:val="7C6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10"/>
    <w:pPr>
      <w:ind w:left="1200" w:hanging="400"/>
      <w:outlineLvl w:val="3"/>
    </w:pPr>
    <w:rPr>
      <w:rFonts w:eastAsia="Times New Roman"/>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index 8"/>
    <w:basedOn w:val="1"/>
    <w:next w:val="1"/>
    <w:qFormat/>
    <w:uiPriority w:val="0"/>
    <w:pPr>
      <w:spacing w:line="276" w:lineRule="auto"/>
      <w:jc w:val="left"/>
    </w:pPr>
    <w:rPr>
      <w:rFonts w:ascii="宋体" w:hAnsi="宋体"/>
      <w:color w:val="FF0000"/>
      <w:szCs w:val="21"/>
    </w:rPr>
  </w:style>
  <w:style w:type="paragraph" w:styleId="6">
    <w:name w:val="Normal Indent"/>
    <w:basedOn w:val="1"/>
    <w:qFormat/>
    <w:uiPriority w:val="0"/>
    <w:pPr>
      <w:ind w:firstLine="420"/>
    </w:pPr>
  </w:style>
  <w:style w:type="paragraph" w:styleId="7">
    <w:name w:val="Body Text"/>
    <w:basedOn w:val="1"/>
    <w:next w:val="8"/>
    <w:qFormat/>
    <w:uiPriority w:val="99"/>
    <w:pPr>
      <w:spacing w:after="120"/>
    </w:pPr>
  </w:style>
  <w:style w:type="paragraph" w:styleId="8">
    <w:name w:val="Subtitle"/>
    <w:basedOn w:val="1"/>
    <w:next w:val="1"/>
    <w:qFormat/>
    <w:uiPriority w:val="0"/>
    <w:pPr>
      <w:spacing w:line="312" w:lineRule="auto"/>
      <w:jc w:val="center"/>
      <w:outlineLvl w:val="1"/>
    </w:pPr>
    <w:rPr>
      <w:rFonts w:ascii="Cambria" w:hAnsi="Cambria"/>
      <w:b/>
      <w:bCs/>
      <w:kern w:val="28"/>
      <w:sz w:val="32"/>
      <w:szCs w:val="32"/>
    </w:rPr>
  </w:style>
  <w:style w:type="paragraph" w:styleId="9">
    <w:name w:val="Balloon Text"/>
    <w:basedOn w:val="1"/>
    <w:link w:val="17"/>
    <w:qFormat/>
    <w:uiPriority w:val="0"/>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 w:type="character" w:customStyle="1" w:styleId="14">
    <w:name w:val="font61"/>
    <w:basedOn w:val="12"/>
    <w:qFormat/>
    <w:uiPriority w:val="0"/>
    <w:rPr>
      <w:rFonts w:hint="default" w:ascii="楷体_GB2312" w:eastAsia="楷体_GB2312" w:cs="楷体_GB2312"/>
      <w:color w:val="000000"/>
      <w:sz w:val="24"/>
      <w:szCs w:val="24"/>
      <w:u w:val="none"/>
    </w:rPr>
  </w:style>
  <w:style w:type="character" w:customStyle="1" w:styleId="15">
    <w:name w:val="font01"/>
    <w:basedOn w:val="12"/>
    <w:qFormat/>
    <w:uiPriority w:val="0"/>
    <w:rPr>
      <w:rFonts w:hint="eastAsia" w:ascii="宋体" w:hAnsi="宋体" w:eastAsia="宋体" w:cs="宋体"/>
      <w:color w:val="000000"/>
      <w:sz w:val="24"/>
      <w:szCs w:val="24"/>
      <w:u w:val="none"/>
    </w:rPr>
  </w:style>
  <w:style w:type="character" w:customStyle="1" w:styleId="16">
    <w:name w:val="font41"/>
    <w:basedOn w:val="12"/>
    <w:qFormat/>
    <w:uiPriority w:val="0"/>
    <w:rPr>
      <w:rFonts w:hint="default" w:ascii="Times New Roman" w:hAnsi="Times New Roman" w:cs="Times New Roman"/>
      <w:color w:val="000000"/>
      <w:sz w:val="24"/>
      <w:szCs w:val="24"/>
      <w:u w:val="none"/>
    </w:rPr>
  </w:style>
  <w:style w:type="character" w:customStyle="1" w:styleId="17">
    <w:name w:val="批注框文本 字符"/>
    <w:basedOn w:val="12"/>
    <w:link w:val="9"/>
    <w:qFormat/>
    <w:uiPriority w:val="0"/>
    <w:rPr>
      <w:rFonts w:asciiTheme="minorHAnsi" w:hAnsiTheme="minorHAnsi" w:eastAsiaTheme="minorEastAsia" w:cstheme="minorBidi"/>
      <w:kern w:val="2"/>
      <w:sz w:val="18"/>
      <w:szCs w:val="18"/>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1333</Characters>
  <Lines>11</Lines>
  <Paragraphs>3</Paragraphs>
  <TotalTime>1</TotalTime>
  <ScaleCrop>false</ScaleCrop>
  <LinksUpToDate>false</LinksUpToDate>
  <CharactersWithSpaces>1563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2020-05-26T02:12:00Z</dcterms:created>
  <dc:creator>user</dc:creator>
  <cp:lastModifiedBy>Administrator</cp:lastModifiedBy>
  <cp:lastPrinted>2023-10-07T03:07:00Z</cp:lastPrinted>
  <dcterms:modified xsi:type="dcterms:W3CDTF">2024-05-06T01:47:46Z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E5528E4503F44C21B1592652ECC7EFAA</vt:lpwstr>
  </property>
</Properties>
</file>