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  <w:lang w:val="en-US" w:eastAsia="zh-CN"/>
        </w:rPr>
        <w:t>中共</w:t>
      </w: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校园活动</w:t>
      </w:r>
      <w:r>
        <w:rPr>
          <w:rFonts w:hint="eastAsia"/>
          <w:sz w:val="36"/>
          <w:szCs w:val="44"/>
          <w:lang w:val="en-US" w:eastAsia="zh-CN"/>
        </w:rPr>
        <w:t>摄影</w:t>
      </w:r>
      <w:r>
        <w:rPr>
          <w:rFonts w:hint="eastAsia"/>
          <w:sz w:val="36"/>
          <w:szCs w:val="44"/>
        </w:rPr>
        <w:t>摄像服务招标公告</w:t>
      </w:r>
    </w:p>
    <w:p>
      <w:pPr>
        <w:spacing w:line="360" w:lineRule="auto"/>
        <w:rPr>
          <w:sz w:val="24"/>
          <w:szCs w:val="24"/>
        </w:rPr>
      </w:pPr>
      <w:r>
        <w:rPr>
          <w:rFonts w:hint="eastAsia"/>
          <w:sz w:val="28"/>
          <w:szCs w:val="28"/>
        </w:rPr>
        <w:t>各受邀单位</w:t>
      </w:r>
      <w:r>
        <w:rPr>
          <w:rFonts w:hint="eastAsia"/>
          <w:sz w:val="24"/>
          <w:szCs w:val="24"/>
        </w:rPr>
        <w:t>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我校现拟通过比选采购</w:t>
      </w:r>
      <w:r>
        <w:rPr>
          <w:rFonts w:hint="eastAsia"/>
          <w:sz w:val="24"/>
          <w:szCs w:val="24"/>
          <w:lang w:eastAsia="zh-CN"/>
        </w:rPr>
        <w:t>一家单位为我校在举行校园活动时根据需求提供摄影摄像服务</w:t>
      </w:r>
      <w:r>
        <w:rPr>
          <w:rFonts w:hint="eastAsia"/>
          <w:sz w:val="24"/>
          <w:szCs w:val="24"/>
        </w:rPr>
        <w:t>。欢迎符合要求的单位予以投标，并请</w:t>
      </w:r>
      <w:r>
        <w:rPr>
          <w:rFonts w:hint="eastAsia"/>
          <w:color w:val="auto"/>
          <w:sz w:val="24"/>
          <w:szCs w:val="24"/>
          <w:shd w:val="clear" w:color="auto" w:fill="auto"/>
        </w:rPr>
        <w:t>于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  <w:shd w:val="clear" w:color="auto" w:fill="auto"/>
        </w:rPr>
        <w:t>年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9</w:t>
      </w:r>
      <w:r>
        <w:rPr>
          <w:rFonts w:hint="eastAsia"/>
          <w:color w:val="auto"/>
          <w:sz w:val="24"/>
          <w:szCs w:val="24"/>
          <w:shd w:val="clear" w:color="auto" w:fill="auto"/>
        </w:rPr>
        <w:t>月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25</w:t>
      </w:r>
      <w:r>
        <w:rPr>
          <w:rFonts w:hint="eastAsia"/>
          <w:color w:val="auto"/>
          <w:sz w:val="24"/>
          <w:szCs w:val="24"/>
          <w:shd w:val="clear" w:color="auto" w:fill="auto"/>
        </w:rPr>
        <w:t>日1</w:t>
      </w:r>
      <w:r>
        <w:rPr>
          <w:rFonts w:hint="eastAsia"/>
          <w:color w:val="auto"/>
          <w:sz w:val="24"/>
          <w:szCs w:val="24"/>
          <w:shd w:val="clear" w:color="auto" w:fill="auto"/>
          <w:lang w:val="en-US" w:eastAsia="zh-CN"/>
        </w:rPr>
        <w:t>2</w:t>
      </w:r>
      <w:r>
        <w:rPr>
          <w:rFonts w:hint="eastAsia"/>
          <w:color w:val="auto"/>
          <w:sz w:val="24"/>
          <w:szCs w:val="24"/>
          <w:shd w:val="clear" w:color="auto" w:fill="auto"/>
        </w:rPr>
        <w:t>:00</w:t>
      </w:r>
      <w:r>
        <w:rPr>
          <w:rFonts w:hint="eastAsia"/>
          <w:sz w:val="24"/>
          <w:szCs w:val="24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资金情况</w:t>
      </w:r>
      <w:r>
        <w:rPr>
          <w:rFonts w:hint="eastAsia" w:ascii="华文仿宋" w:hAnsi="华文仿宋" w:eastAsia="华文仿宋"/>
          <w:b w:val="0"/>
          <w:bCs/>
          <w:sz w:val="28"/>
          <w:szCs w:val="28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eastAsia="zh-CN"/>
        </w:rPr>
        <w:t>不超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  <w:lang w:val="en-US" w:eastAsia="zh-CN"/>
        </w:rPr>
        <w:t>8万元/年</w:t>
      </w:r>
    </w:p>
    <w:p>
      <w:pPr>
        <w:pStyle w:val="3"/>
        <w:spacing w:before="0" w:after="0" w:line="360" w:lineRule="auto"/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</w:rPr>
        <w:t>项目概况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1、</w:t>
      </w:r>
      <w:r>
        <w:rPr>
          <w:rFonts w:hint="eastAsia" w:ascii="宋体" w:hAnsi="宋体"/>
          <w:sz w:val="24"/>
        </w:rPr>
        <w:t>为满足学校对高品质摄影作品的需求，保障教育教学、社团托管课程、成果申报、各类活动的高质量开展，通过视频、图片等方式讲好泡天故事，积极提炼育人成果，计划通过购买服务的方式签约摄影摄像服务公司，为我校提供专业摄影服务，服务内容包含活动摄影、专题摄影、活动视频拍摄等，提供包含照片直播服务、短视频作品等，具备无人机航拍等设备及专业能力。</w:t>
      </w:r>
    </w:p>
    <w:p>
      <w:pPr>
        <w:pStyle w:val="2"/>
        <w:ind w:left="0" w:leftChars="0" w:firstLine="0" w:firstLineChars="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2、本项目服务期限为1年。</w:t>
      </w:r>
    </w:p>
    <w:p>
      <w:pPr>
        <w:pStyle w:val="2"/>
        <w:ind w:left="0" w:leftChars="0" w:firstLine="0" w:firstLineChars="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三、服务清单：</w:t>
      </w: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204"/>
        <w:gridCol w:w="3032"/>
        <w:gridCol w:w="1885"/>
        <w:gridCol w:w="1321"/>
        <w:gridCol w:w="1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内容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配置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成品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拍摄时长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限价（元）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45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摄影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学校日常活动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佳能/索尼专业机器搭载镜头组</w:t>
            </w:r>
          </w:p>
          <w:p>
            <w:pPr>
              <w:pStyle w:val="2"/>
              <w:ind w:left="0" w:leftChars="0" w:firstLine="0" w:firstLineChars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提供照片直播</w:t>
            </w:r>
          </w:p>
          <w:p>
            <w:p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拍摄人员行业经验6年以上，长期服务于学校类型拍摄服务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初选后400张以上底片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全天</w:t>
            </w:r>
          </w:p>
        </w:tc>
        <w:tc>
          <w:tcPr>
            <w:tcW w:w="612" w:type="pct"/>
            <w:tcBorders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53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摄像</w:t>
            </w:r>
          </w:p>
        </w:tc>
        <w:tc>
          <w:tcPr>
            <w:tcW w:w="636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学校日常活动</w:t>
            </w:r>
          </w:p>
        </w:tc>
        <w:tc>
          <w:tcPr>
            <w:tcW w:w="1602" w:type="pct"/>
            <w:noWrap w:val="0"/>
            <w:vAlign w:val="center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索尼专业机器搭建镜头组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后期专业剪辑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达芬奇调色</w:t>
            </w:r>
          </w:p>
          <w:p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拍摄人员行业经验6年以上，长期服务于学校类型拍摄服务</w:t>
            </w:r>
          </w:p>
        </w:tc>
        <w:tc>
          <w:tcPr>
            <w:tcW w:w="996" w:type="pc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成片根据甲方要求进行时长和风格制作1-3分钟</w:t>
            </w:r>
          </w:p>
        </w:tc>
        <w:tc>
          <w:tcPr>
            <w:tcW w:w="698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全天</w:t>
            </w:r>
          </w:p>
        </w:tc>
        <w:tc>
          <w:tcPr>
            <w:tcW w:w="612" w:type="pct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2100</w:t>
            </w:r>
          </w:p>
        </w:tc>
      </w:tr>
    </w:tbl>
    <w:p>
      <w:pPr>
        <w:pStyle w:val="4"/>
        <w:ind w:left="0" w:leftChars="0" w:firstLine="0" w:firstLineChars="0"/>
        <w:rPr>
          <w:rFonts w:hint="eastAsia" w:ascii="宋体" w:hAnsi="宋体"/>
          <w:b w:val="0"/>
          <w:bCs/>
          <w:sz w:val="24"/>
          <w:lang w:val="en-US" w:eastAsia="zh-CN"/>
        </w:rPr>
      </w:pPr>
    </w:p>
    <w:p>
      <w:pPr>
        <w:pStyle w:val="4"/>
        <w:ind w:left="0" w:leftChars="0" w:firstLine="0" w:firstLineChars="0"/>
        <w:rPr>
          <w:rFonts w:hint="eastAsia"/>
          <w:lang w:eastAsia="zh-CN"/>
        </w:rPr>
      </w:pPr>
      <w:r>
        <w:rPr>
          <w:rFonts w:hint="eastAsia" w:ascii="宋体" w:hAnsi="宋体"/>
          <w:b w:val="0"/>
          <w:bCs/>
          <w:sz w:val="24"/>
          <w:lang w:val="en-US" w:eastAsia="zh-CN"/>
        </w:rPr>
        <w:t>备注：如若拍摄定制专题片等类型，一例一价，根据专题片的需求和制作另行计算价格</w:t>
      </w:r>
    </w:p>
    <w:p>
      <w:pPr>
        <w:pStyle w:val="5"/>
        <w:numPr>
          <w:ilvl w:val="0"/>
          <w:numId w:val="0"/>
        </w:numPr>
        <w:rPr>
          <w:rFonts w:hint="eastAsia"/>
          <w:sz w:val="24"/>
          <w:szCs w:val="24"/>
          <w:lang w:eastAsia="zh-CN"/>
        </w:rPr>
      </w:pPr>
    </w:p>
    <w:p>
      <w:pPr>
        <w:pStyle w:val="5"/>
        <w:numPr>
          <w:ilvl w:val="0"/>
          <w:numId w:val="0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四、</w:t>
      </w:r>
      <w:r>
        <w:rPr>
          <w:rFonts w:hint="eastAsia"/>
          <w:b/>
          <w:bCs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2.比选文件构成：</w:t>
      </w:r>
      <w:r>
        <w:rPr>
          <w:rFonts w:hint="eastAsia"/>
          <w:sz w:val="24"/>
          <w:szCs w:val="24"/>
          <w:lang w:val="en-US" w:eastAsia="zh-CN"/>
        </w:rPr>
        <w:t xml:space="preserve">                                                                                            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5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7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1236"/>
        <w:gridCol w:w="639"/>
        <w:gridCol w:w="6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7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响应报价70%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的价格分统一按照下列公式计算：报价得分=(评审基准价／比选报价)*70分。报价单模板见附件一。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履约能力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10分</w:t>
            </w:r>
          </w:p>
        </w:tc>
        <w:tc>
          <w:tcPr>
            <w:tcW w:w="3677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自2018年1月1日（含）以来每有1个类似项目业绩的得5分，最多得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方案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</w:t>
            </w:r>
          </w:p>
        </w:tc>
        <w:tc>
          <w:tcPr>
            <w:tcW w:w="3677" w:type="pct"/>
            <w:vAlign w:val="center"/>
          </w:tcPr>
          <w:p>
            <w:pPr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根据</w:t>
            </w:r>
            <w:r>
              <w:rPr>
                <w:rFonts w:hint="eastAsia" w:ascii="宋体" w:hAnsi="宋体" w:cs="宋体"/>
                <w:color w:val="auto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服务方案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color w:val="auto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color w:val="auto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合计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3677" w:type="pct"/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color w:val="auto"/>
                <w:szCs w:val="21"/>
              </w:rPr>
            </w:pP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以上资料均需加盖鲜章，均须密封，并在封口处加盖公司公章。</w:t>
      </w:r>
    </w:p>
    <w:p>
      <w:pPr>
        <w:pStyle w:val="5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</w:t>
      </w:r>
      <w:r>
        <w:rPr>
          <w:rFonts w:hint="eastAsia"/>
          <w:color w:val="auto"/>
          <w:sz w:val="24"/>
          <w:szCs w:val="24"/>
          <w:lang w:val="en-US" w:eastAsia="zh-CN"/>
        </w:rPr>
        <w:t>2023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9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19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校园活动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  <w:lang w:val="en-US" w:eastAsia="zh-CN"/>
        </w:rPr>
        <w:t>摄影</w:t>
      </w:r>
      <w:r>
        <w:rPr>
          <w:rFonts w:hint="eastAsia" w:ascii="微软雅黑" w:hAnsi="微软雅黑" w:eastAsia="微软雅黑" w:cs="微软雅黑"/>
          <w:b/>
          <w:color w:val="000000"/>
          <w:sz w:val="32"/>
          <w:szCs w:val="32"/>
        </w:rPr>
        <w:t>摄像服务报价单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p>
      <w:pP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eastAsia="zh-CN"/>
        </w:rPr>
        <w:t>报价：</w:t>
      </w:r>
      <w:r>
        <w:rPr>
          <w:rFonts w:hint="eastAsia" w:ascii="微软雅黑" w:hAnsi="微软雅黑" w:eastAsia="微软雅黑" w:cs="微软雅黑"/>
          <w:b w:val="0"/>
          <w:bCs/>
          <w:sz w:val="24"/>
        </w:rPr>
        <w:t>单价折扣率（百分比）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eastAsia="zh-CN"/>
        </w:rPr>
        <w:t>小写：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120" w:firstLineChars="1300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大写：                          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                                </w:t>
      </w:r>
    </w:p>
    <w:p>
      <w:pPr>
        <w:wordWrap w:val="0"/>
        <w:spacing w:after="160" w:line="276" w:lineRule="auto"/>
        <w:ind w:firstLine="482" w:firstLineChars="200"/>
        <w:rPr>
          <w:rFonts w:hint="eastAsia" w:ascii="楷体" w:hAnsi="楷体" w:eastAsia="楷体"/>
          <w:b/>
          <w:sz w:val="24"/>
        </w:rPr>
      </w:pPr>
    </w:p>
    <w:p>
      <w:pPr>
        <w:wordWrap w:val="0"/>
        <w:spacing w:after="160" w:line="276" w:lineRule="auto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</w:rPr>
        <w:t>注：</w:t>
      </w:r>
      <w:r>
        <w:rPr>
          <w:rFonts w:hint="eastAsia" w:ascii="楷体" w:hAnsi="楷体" w:eastAsia="楷体"/>
          <w:b/>
          <w:sz w:val="24"/>
          <w:lang w:val="en-US" w:eastAsia="zh-CN"/>
        </w:rPr>
        <w:t>1、</w:t>
      </w:r>
      <w:r>
        <w:rPr>
          <w:rFonts w:hint="eastAsia" w:ascii="楷体" w:hAnsi="楷体" w:eastAsia="楷体"/>
          <w:b/>
          <w:sz w:val="24"/>
        </w:rPr>
        <w:t>报价只需报单价折扣率。（折扣率100.00%，即报价等于控制单价；折扣率90.55%，即报价为控制单价*90.55%，以此类推）</w:t>
      </w:r>
    </w:p>
    <w:p>
      <w:pPr>
        <w:wordWrap w:val="0"/>
        <w:spacing w:after="160" w:line="276" w:lineRule="auto"/>
        <w:ind w:firstLine="482" w:firstLineChars="200"/>
        <w:rPr>
          <w:rFonts w:hint="eastAsia" w:ascii="楷体" w:hAnsi="楷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>2、</w:t>
      </w:r>
      <w:r>
        <w:rPr>
          <w:rFonts w:hint="eastAsia" w:ascii="楷体" w:hAnsi="楷体" w:eastAsia="楷体"/>
          <w:b/>
          <w:sz w:val="24"/>
        </w:rPr>
        <w:t>报价为含税开票价格，并为一次性报价，所供产品或服务的规格及质量应达到</w:t>
      </w:r>
      <w:r>
        <w:rPr>
          <w:rFonts w:hint="eastAsia" w:ascii="楷体" w:hAnsi="楷体" w:eastAsia="楷体"/>
          <w:b/>
          <w:sz w:val="24"/>
          <w:lang w:eastAsia="zh-CN"/>
        </w:rPr>
        <w:t>采购方要求。</w:t>
      </w:r>
    </w:p>
    <w:p>
      <w:pPr>
        <w:wordWrap w:val="0"/>
        <w:spacing w:after="160" w:line="276" w:lineRule="auto"/>
        <w:ind w:firstLine="482" w:firstLineChars="20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>3、</w:t>
      </w:r>
      <w:r>
        <w:rPr>
          <w:rFonts w:hint="eastAsia" w:ascii="楷体" w:hAnsi="楷体" w:eastAsia="楷体"/>
          <w:b/>
          <w:sz w:val="24"/>
        </w:rPr>
        <w:t>此报价页模板由学校提供，</w:t>
      </w:r>
      <w:r>
        <w:rPr>
          <w:rFonts w:hint="eastAsia" w:ascii="楷体" w:hAnsi="楷体" w:eastAsia="楷体"/>
          <w:b/>
          <w:sz w:val="24"/>
          <w:lang w:eastAsia="zh-CN"/>
        </w:rPr>
        <w:t>供应商</w:t>
      </w:r>
      <w:r>
        <w:rPr>
          <w:rFonts w:hint="eastAsia" w:ascii="楷体" w:hAnsi="楷体" w:eastAsia="楷体"/>
          <w:b/>
          <w:sz w:val="24"/>
        </w:rPr>
        <w:t>在确保满足参数要求的前提下</w:t>
      </w:r>
      <w:r>
        <w:rPr>
          <w:rFonts w:hint="eastAsia" w:ascii="楷体" w:hAnsi="楷体" w:eastAsia="楷体"/>
          <w:b/>
          <w:sz w:val="24"/>
          <w:lang w:eastAsia="zh-CN"/>
        </w:rPr>
        <w:t>各单项</w:t>
      </w:r>
      <w:r>
        <w:rPr>
          <w:rFonts w:hint="eastAsia" w:ascii="楷体" w:hAnsi="楷体" w:eastAsia="楷体"/>
          <w:b/>
          <w:sz w:val="24"/>
        </w:rPr>
        <w:t>报价不能超过预算</w:t>
      </w:r>
      <w:r>
        <w:rPr>
          <w:rFonts w:hint="eastAsia" w:ascii="楷体" w:hAnsi="楷体" w:eastAsia="楷体"/>
          <w:b/>
          <w:sz w:val="24"/>
          <w:lang w:val="en-US" w:eastAsia="zh-CN"/>
        </w:rPr>
        <w:t>单价</w:t>
      </w:r>
      <w:r>
        <w:rPr>
          <w:rFonts w:hint="eastAsia" w:ascii="楷体" w:hAnsi="楷体" w:eastAsia="楷体"/>
          <w:b/>
          <w:sz w:val="24"/>
        </w:rPr>
        <w:t>，否则视为无效报价；只需填写</w:t>
      </w:r>
      <w:r>
        <w:rPr>
          <w:rFonts w:hint="eastAsia" w:ascii="楷体" w:hAnsi="楷体" w:eastAsia="楷体"/>
          <w:b/>
          <w:sz w:val="24"/>
          <w:lang w:eastAsia="zh-CN"/>
        </w:rPr>
        <w:t>报价金额</w:t>
      </w:r>
      <w:r>
        <w:rPr>
          <w:rFonts w:hint="eastAsia" w:ascii="楷体" w:hAnsi="楷体" w:eastAsia="楷体"/>
          <w:b/>
          <w:sz w:val="24"/>
        </w:rPr>
        <w:t>、合计即可。</w:t>
      </w:r>
    </w:p>
    <w:p>
      <w:pPr>
        <w:wordWrap w:val="0"/>
        <w:spacing w:after="160" w:line="276" w:lineRule="auto"/>
        <w:ind w:firstLine="482" w:firstLineChars="200"/>
        <w:rPr>
          <w:rFonts w:hint="eastAsia" w:ascii="楷体" w:hAnsi="楷体" w:eastAsia="楷体"/>
          <w:b/>
          <w:sz w:val="24"/>
        </w:rPr>
      </w:pPr>
      <w:r>
        <w:rPr>
          <w:rFonts w:hint="eastAsia" w:ascii="楷体" w:hAnsi="楷体" w:eastAsia="楷体"/>
          <w:b/>
          <w:sz w:val="24"/>
          <w:lang w:val="en-US" w:eastAsia="zh-CN"/>
        </w:rPr>
        <w:t>4、</w:t>
      </w:r>
      <w:r>
        <w:rPr>
          <w:rFonts w:hint="eastAsia" w:ascii="楷体" w:hAnsi="楷体" w:eastAsia="楷体"/>
          <w:b/>
          <w:sz w:val="24"/>
        </w:rPr>
        <w:t>此报价页以及其它印证资料（如公司相关资质复印件、联系人身份证复印件等）均需加盖单位鲜章。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pStyle w:val="5"/>
        <w:rPr>
          <w:lang w:val="en-US" w:eastAsia="zh-CN"/>
        </w:rPr>
      </w:pPr>
    </w:p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814242D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70153E6"/>
    <w:rsid w:val="1961157A"/>
    <w:rsid w:val="1ABD5105"/>
    <w:rsid w:val="1B5B60D7"/>
    <w:rsid w:val="1BC028B8"/>
    <w:rsid w:val="1E4673C7"/>
    <w:rsid w:val="1EE3413B"/>
    <w:rsid w:val="1FDB1680"/>
    <w:rsid w:val="21162D53"/>
    <w:rsid w:val="242D7763"/>
    <w:rsid w:val="29ED4990"/>
    <w:rsid w:val="2AA8473F"/>
    <w:rsid w:val="2B093239"/>
    <w:rsid w:val="2DAD45B2"/>
    <w:rsid w:val="300679A4"/>
    <w:rsid w:val="318F3BCB"/>
    <w:rsid w:val="329B53FC"/>
    <w:rsid w:val="37673F3D"/>
    <w:rsid w:val="38545D1F"/>
    <w:rsid w:val="3AE63954"/>
    <w:rsid w:val="3D4E7CEB"/>
    <w:rsid w:val="3DC178FB"/>
    <w:rsid w:val="3DEF2ED4"/>
    <w:rsid w:val="420C7940"/>
    <w:rsid w:val="43A166C0"/>
    <w:rsid w:val="453E313B"/>
    <w:rsid w:val="48144482"/>
    <w:rsid w:val="48356E5A"/>
    <w:rsid w:val="48567818"/>
    <w:rsid w:val="4A457B43"/>
    <w:rsid w:val="4C3C3B81"/>
    <w:rsid w:val="4C9C1E34"/>
    <w:rsid w:val="4CC07861"/>
    <w:rsid w:val="4D73213F"/>
    <w:rsid w:val="4DC01311"/>
    <w:rsid w:val="4E5B4016"/>
    <w:rsid w:val="4EC428AA"/>
    <w:rsid w:val="4F0D0111"/>
    <w:rsid w:val="5A297BD9"/>
    <w:rsid w:val="5B1879D4"/>
    <w:rsid w:val="5B662CAF"/>
    <w:rsid w:val="5DE97726"/>
    <w:rsid w:val="5E7469EA"/>
    <w:rsid w:val="5E873A9E"/>
    <w:rsid w:val="60587A04"/>
    <w:rsid w:val="62812BF2"/>
    <w:rsid w:val="629E6A2C"/>
    <w:rsid w:val="672A1E6E"/>
    <w:rsid w:val="6EBD6337"/>
    <w:rsid w:val="6F9A249A"/>
    <w:rsid w:val="70CE451E"/>
    <w:rsid w:val="723B4B0D"/>
    <w:rsid w:val="73A57AB3"/>
    <w:rsid w:val="75AF7A41"/>
    <w:rsid w:val="75F41B61"/>
    <w:rsid w:val="781B4C84"/>
    <w:rsid w:val="785A0091"/>
    <w:rsid w:val="7892678D"/>
    <w:rsid w:val="79DC1BF2"/>
    <w:rsid w:val="79EE435C"/>
    <w:rsid w:val="7B1D4F00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qFormat="1" w:uiPriority="99" w:semiHidden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4"/>
    <w:basedOn w:val="1"/>
    <w:next w:val="1"/>
    <w:unhideWhenUsed/>
    <w:qFormat/>
    <w:uiPriority w:val="99"/>
    <w:pPr>
      <w:ind w:left="600" w:leftChars="600"/>
    </w:pPr>
  </w:style>
  <w:style w:type="paragraph" w:styleId="5">
    <w:name w:val="Body Text"/>
    <w:basedOn w:val="1"/>
    <w:next w:val="1"/>
    <w:qFormat/>
    <w:uiPriority w:val="99"/>
    <w:pPr>
      <w:spacing w:after="120"/>
    </w:pPr>
  </w:style>
  <w:style w:type="paragraph" w:styleId="6">
    <w:name w:val="Balloon Text"/>
    <w:basedOn w:val="1"/>
    <w:link w:val="14"/>
    <w:qFormat/>
    <w:uiPriority w:val="0"/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61"/>
    <w:basedOn w:val="9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2">
    <w:name w:val="font0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9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4">
    <w:name w:val="批注框文本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34"/>
      <w:szCs w:val="34"/>
      <w:u w:val="none"/>
    </w:rPr>
  </w:style>
  <w:style w:type="character" w:customStyle="1" w:styleId="16">
    <w:name w:val="font161"/>
    <w:basedOn w:val="9"/>
    <w:qFormat/>
    <w:uiPriority w:val="0"/>
    <w:rPr>
      <w:rFonts w:hint="eastAsia" w:ascii="宋体" w:hAnsi="宋体" w:eastAsia="宋体" w:cs="宋体"/>
      <w:color w:val="FF0000"/>
      <w:sz w:val="34"/>
      <w:szCs w:val="3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7</TotalTime>
  <ScaleCrop>false</ScaleCrop>
  <LinksUpToDate>false</LinksUpToDate>
  <CharactersWithSpaces>1563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Administrator</cp:lastModifiedBy>
  <cp:lastPrinted>2023-06-16T01:52:00Z</cp:lastPrinted>
  <dcterms:modified xsi:type="dcterms:W3CDTF">2024-05-08T04:57:26Z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9A1DF41EDDDE478C9AA4CDAFCE538063</vt:lpwstr>
  </property>
</Properties>
</file>