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sz w:val="36"/>
          <w:szCs w:val="44"/>
        </w:rPr>
      </w:pPr>
      <w:r>
        <w:rPr>
          <w:rFonts w:hint="eastAsia"/>
          <w:sz w:val="44"/>
          <w:szCs w:val="52"/>
        </w:rPr>
        <w:t xml:space="preserve"> </w:t>
      </w:r>
      <w:r>
        <w:rPr>
          <w:rFonts w:hint="eastAsia"/>
          <w:sz w:val="36"/>
          <w:szCs w:val="44"/>
        </w:rPr>
        <w:t>成都市泡桐树小学（天府校区）</w:t>
      </w:r>
    </w:p>
    <w:p>
      <w:pPr>
        <w:spacing w:line="360" w:lineRule="auto"/>
        <w:jc w:val="center"/>
        <w:rPr>
          <w:sz w:val="36"/>
          <w:szCs w:val="44"/>
        </w:rPr>
      </w:pPr>
      <w:r>
        <w:rPr>
          <w:rFonts w:hint="eastAsia"/>
          <w:sz w:val="36"/>
          <w:szCs w:val="44"/>
          <w:lang w:val="en-US" w:eastAsia="zh-CN"/>
        </w:rPr>
        <w:t>2024体育教师服装</w:t>
      </w:r>
      <w:r>
        <w:rPr>
          <w:rFonts w:hint="eastAsia"/>
          <w:sz w:val="36"/>
          <w:szCs w:val="44"/>
        </w:rPr>
        <w:t>采购招标公告</w:t>
      </w:r>
    </w:p>
    <w:p>
      <w:pPr>
        <w:spacing w:line="240" w:lineRule="auto"/>
        <w:rPr>
          <w:rFonts w:ascii="方正仿宋_GBK" w:eastAsia="方正仿宋_GBK"/>
          <w:b w:val="0"/>
          <w:bCs w:val="0"/>
          <w:sz w:val="32"/>
          <w:szCs w:val="32"/>
        </w:rPr>
      </w:pPr>
      <w:r>
        <w:rPr>
          <w:rFonts w:hint="eastAsia" w:ascii="方正仿宋_GBK" w:eastAsia="方正仿宋_GBK"/>
          <w:b w:val="0"/>
          <w:bCs w:val="0"/>
          <w:sz w:val="22"/>
          <w:szCs w:val="22"/>
        </w:rPr>
        <w:t>各</w:t>
      </w:r>
      <w:r>
        <w:rPr>
          <w:rFonts w:hint="eastAsia" w:ascii="方正仿宋_GBK" w:eastAsia="方正仿宋_GBK"/>
          <w:b w:val="0"/>
          <w:bCs w:val="0"/>
          <w:sz w:val="22"/>
          <w:szCs w:val="22"/>
          <w:lang w:eastAsia="zh-CN"/>
        </w:rPr>
        <w:t>供应商</w:t>
      </w:r>
      <w:r>
        <w:rPr>
          <w:rFonts w:hint="eastAsia" w:ascii="方正仿宋_GBK" w:eastAsia="方正仿宋_GBK"/>
          <w:b w:val="0"/>
          <w:bCs w:val="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ascii="宋体" w:hAnsi="宋体" w:eastAsia="宋体"/>
          <w:sz w:val="21"/>
          <w:szCs w:val="21"/>
        </w:rPr>
      </w:pPr>
      <w:r>
        <w:rPr>
          <w:rFonts w:hint="eastAsia" w:ascii="宋体" w:hAnsi="宋体" w:eastAsia="宋体"/>
          <w:sz w:val="21"/>
          <w:szCs w:val="21"/>
          <w:lang w:val="en-US" w:eastAsia="zh-CN"/>
        </w:rPr>
        <w:t>根据《成都高新区社区发展治理和社会事业局关于建议调整艺体教师装备费用》的通知，</w:t>
      </w:r>
      <w:r>
        <w:rPr>
          <w:rFonts w:hint="eastAsia" w:ascii="宋体" w:hAnsi="宋体" w:eastAsia="宋体"/>
          <w:sz w:val="21"/>
          <w:szCs w:val="21"/>
        </w:rPr>
        <w:t>我校现拟通过</w:t>
      </w:r>
      <w:r>
        <w:rPr>
          <w:rFonts w:hint="eastAsia" w:ascii="宋体" w:hAnsi="宋体" w:eastAsia="宋体"/>
          <w:sz w:val="21"/>
          <w:szCs w:val="21"/>
          <w:lang w:eastAsia="zh-CN"/>
        </w:rPr>
        <w:t>比选</w:t>
      </w:r>
      <w:r>
        <w:rPr>
          <w:rFonts w:hint="eastAsia" w:ascii="宋体" w:hAnsi="宋体" w:eastAsia="宋体"/>
          <w:sz w:val="21"/>
          <w:szCs w:val="21"/>
        </w:rPr>
        <w:t>方式采购</w:t>
      </w:r>
      <w:r>
        <w:rPr>
          <w:rFonts w:hint="eastAsia" w:ascii="宋体" w:hAnsi="宋体" w:eastAsia="宋体"/>
          <w:sz w:val="21"/>
          <w:szCs w:val="21"/>
          <w:lang w:eastAsia="zh-CN"/>
        </w:rPr>
        <w:t>一批体育老师运动服</w:t>
      </w:r>
      <w:r>
        <w:rPr>
          <w:rFonts w:hint="eastAsia" w:ascii="宋体" w:hAnsi="宋体" w:eastAsia="宋体"/>
          <w:sz w:val="21"/>
          <w:szCs w:val="21"/>
        </w:rPr>
        <w:t>。欢迎符合要求的单位予以</w:t>
      </w:r>
      <w:r>
        <w:rPr>
          <w:rFonts w:hint="eastAsia" w:ascii="宋体" w:hAnsi="宋体" w:eastAsia="宋体"/>
          <w:sz w:val="21"/>
          <w:szCs w:val="21"/>
          <w:lang w:eastAsia="zh-CN"/>
        </w:rPr>
        <w:t>投标</w:t>
      </w:r>
      <w:r>
        <w:rPr>
          <w:rFonts w:hint="eastAsia" w:ascii="宋体" w:hAnsi="宋体" w:eastAsia="宋体"/>
          <w:sz w:val="21"/>
          <w:szCs w:val="21"/>
        </w:rPr>
        <w:t>，并于</w:t>
      </w:r>
      <w:r>
        <w:rPr>
          <w:rFonts w:hint="eastAsia" w:ascii="宋体" w:hAnsi="宋体" w:eastAsia="宋体"/>
          <w:color w:val="auto"/>
          <w:sz w:val="21"/>
          <w:szCs w:val="21"/>
          <w:highlight w:val="none"/>
        </w:rPr>
        <w:t>202</w:t>
      </w: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10</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30</w:t>
      </w:r>
      <w:r>
        <w:rPr>
          <w:rFonts w:hint="eastAsia" w:ascii="宋体" w:hAnsi="宋体" w:eastAsia="宋体"/>
          <w:color w:val="auto"/>
          <w:sz w:val="21"/>
          <w:szCs w:val="21"/>
          <w:highlight w:val="none"/>
        </w:rPr>
        <w:t>日1</w:t>
      </w:r>
      <w:r>
        <w:rPr>
          <w:rFonts w:hint="eastAsia" w:ascii="宋体" w:hAnsi="宋体" w:eastAsia="宋体"/>
          <w:color w:val="auto"/>
          <w:sz w:val="21"/>
          <w:szCs w:val="21"/>
          <w:highlight w:val="none"/>
          <w:lang w:val="en-US" w:eastAsia="zh-CN"/>
        </w:rPr>
        <w:t>2</w:t>
      </w:r>
      <w:r>
        <w:rPr>
          <w:rFonts w:hint="eastAsia" w:ascii="宋体" w:hAnsi="宋体" w:eastAsia="宋体"/>
          <w:color w:val="auto"/>
          <w:sz w:val="21"/>
          <w:szCs w:val="21"/>
          <w:highlight w:val="none"/>
        </w:rPr>
        <w:t>:00</w:t>
      </w:r>
      <w:r>
        <w:rPr>
          <w:rFonts w:hint="eastAsia" w:ascii="宋体" w:hAnsi="宋体" w:eastAsia="宋体"/>
          <w:sz w:val="21"/>
          <w:szCs w:val="21"/>
        </w:rPr>
        <w:t>点前将询价响应文件送至我校学校服务中心办公室。</w:t>
      </w:r>
    </w:p>
    <w:p>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ascii="宋体" w:hAnsi="宋体" w:eastAsia="宋体"/>
          <w:sz w:val="21"/>
          <w:szCs w:val="21"/>
        </w:rPr>
      </w:pPr>
      <w:r>
        <w:rPr>
          <w:rFonts w:hint="eastAsia" w:ascii="宋体" w:hAnsi="宋体" w:eastAsia="宋体"/>
          <w:sz w:val="21"/>
          <w:szCs w:val="21"/>
        </w:rPr>
        <w:t>一、项目情况：</w:t>
      </w:r>
    </w:p>
    <w:p>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1、采购运动服24套；</w:t>
      </w:r>
    </w:p>
    <w:p>
      <w:pPr>
        <w:pStyle w:val="2"/>
        <w:rPr>
          <w:rFonts w:hint="default"/>
          <w:lang w:val="en-US"/>
        </w:rPr>
      </w:pPr>
      <w:r>
        <w:rPr>
          <w:rFonts w:hint="eastAsia" w:ascii="宋体" w:hAnsi="宋体" w:eastAsia="宋体"/>
          <w:sz w:val="21"/>
          <w:szCs w:val="21"/>
          <w:lang w:val="en-US" w:eastAsia="zh-CN"/>
        </w:rPr>
        <w:t xml:space="preserve">      2、预算单价1800元/套。</w:t>
      </w:r>
    </w:p>
    <w:p>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ascii="宋体" w:hAnsi="宋体" w:eastAsia="宋体"/>
          <w:sz w:val="21"/>
          <w:szCs w:val="21"/>
        </w:rPr>
      </w:pPr>
      <w:r>
        <w:rPr>
          <w:rFonts w:hint="eastAsia" w:ascii="宋体" w:hAnsi="宋体" w:eastAsia="宋体"/>
          <w:sz w:val="21"/>
          <w:szCs w:val="21"/>
          <w:lang w:eastAsia="zh-CN"/>
        </w:rPr>
        <w:t>二、</w:t>
      </w:r>
      <w:r>
        <w:rPr>
          <w:rFonts w:hint="eastAsia" w:ascii="宋体" w:hAnsi="宋体" w:eastAsia="宋体"/>
          <w:sz w:val="21"/>
          <w:szCs w:val="21"/>
        </w:rPr>
        <w:t>注意事项：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sz w:val="21"/>
          <w:szCs w:val="21"/>
        </w:rPr>
      </w:pPr>
      <w:r>
        <w:rPr>
          <w:rFonts w:hint="eastAsia" w:ascii="宋体" w:hAnsi="宋体" w:eastAsia="宋体"/>
          <w:sz w:val="21"/>
          <w:szCs w:val="21"/>
        </w:rPr>
        <w:t>1.受邀单位须满足《政府采购法》第二十二条相关资质要求。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sz w:val="21"/>
          <w:szCs w:val="21"/>
        </w:rPr>
      </w:pPr>
      <w:r>
        <w:rPr>
          <w:rFonts w:hint="eastAsia" w:ascii="宋体" w:hAnsi="宋体" w:eastAsia="宋体"/>
          <w:sz w:val="21"/>
          <w:szCs w:val="21"/>
        </w:rPr>
        <w:t>2.比选文件构成：</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2.1资格审查：投标人需提供下述资料，否则视为无效投标。</w:t>
      </w:r>
    </w:p>
    <w:p>
      <w:pPr>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hint="eastAsia" w:ascii="宋体" w:hAnsi="宋体" w:eastAsia="宋体"/>
          <w:sz w:val="21"/>
          <w:szCs w:val="21"/>
        </w:rPr>
      </w:pPr>
      <w:r>
        <w:rPr>
          <w:rFonts w:hint="eastAsia" w:ascii="宋体" w:hAnsi="宋体" w:eastAsia="宋体"/>
          <w:sz w:val="21"/>
          <w:szCs w:val="21"/>
        </w:rPr>
        <w:t>2.1.1工商营业执照复印件</w:t>
      </w:r>
    </w:p>
    <w:p>
      <w:pPr>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hint="eastAsia" w:ascii="宋体" w:hAnsi="宋体" w:eastAsia="宋体"/>
          <w:sz w:val="21"/>
          <w:szCs w:val="21"/>
        </w:rPr>
      </w:pPr>
      <w:r>
        <w:rPr>
          <w:rFonts w:hint="eastAsia" w:ascii="宋体" w:hAnsi="宋体" w:eastAsia="宋体"/>
          <w:sz w:val="21"/>
          <w:szCs w:val="21"/>
        </w:rPr>
        <w:t>2.1.2法人身份证复印件（若另有经办人，需提供授权书及被授权书的身份证复印件）</w:t>
      </w:r>
    </w:p>
    <w:p>
      <w:pPr>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hint="eastAsia" w:ascii="宋体" w:hAnsi="宋体" w:eastAsia="宋体"/>
          <w:sz w:val="21"/>
          <w:szCs w:val="21"/>
        </w:rPr>
      </w:pPr>
      <w:r>
        <w:rPr>
          <w:rFonts w:hint="eastAsia" w:ascii="宋体" w:hAnsi="宋体" w:eastAsia="宋体"/>
          <w:sz w:val="21"/>
          <w:szCs w:val="21"/>
        </w:rPr>
        <w:t>2.1.3企业信用信息页（需含“营业执照信息、股东信息、主要人员信息”等，可在http://www.gsxt.gov.cn/index.html网址查询打印）</w:t>
      </w:r>
    </w:p>
    <w:p>
      <w:pPr>
        <w:pStyle w:val="2"/>
        <w:spacing w:line="240" w:lineRule="auto"/>
        <w:rPr>
          <w:rFonts w:hint="eastAsia" w:ascii="宋体" w:hAnsi="宋体" w:eastAsia="宋体"/>
          <w:sz w:val="21"/>
          <w:szCs w:val="21"/>
          <w:lang w:val="en-US" w:eastAsia="zh-CN"/>
        </w:rPr>
      </w:pPr>
      <w:r>
        <w:rPr>
          <w:rFonts w:hint="eastAsia" w:ascii="宋体" w:hAnsi="宋体" w:eastAsia="宋体"/>
          <w:sz w:val="21"/>
          <w:szCs w:val="21"/>
          <w:lang w:val="en-US" w:eastAsia="zh-CN"/>
        </w:rPr>
        <w:t xml:space="preserve">    2.2报价单</w:t>
      </w:r>
    </w:p>
    <w:p>
      <w:pPr>
        <w:pStyle w:val="2"/>
        <w:spacing w:line="240" w:lineRule="auto"/>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评分办法</w:t>
      </w:r>
    </w:p>
    <w:tbl>
      <w:tblPr>
        <w:tblStyle w:val="6"/>
        <w:tblpPr w:leftFromText="180" w:rightFromText="180" w:vertAnchor="text" w:horzAnchor="page" w:tblpX="1472" w:tblpY="285"/>
        <w:tblOverlap w:val="never"/>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114"/>
        <w:gridCol w:w="834"/>
        <w:gridCol w:w="6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vAlign w:val="center"/>
          </w:tcPr>
          <w:p>
            <w:pPr>
              <w:spacing w:line="240" w:lineRule="auto"/>
              <w:ind w:firstLine="28"/>
              <w:jc w:val="center"/>
              <w:rPr>
                <w:rFonts w:ascii="宋体" w:hAnsi="宋体" w:eastAsia="宋体" w:cs="宋体"/>
                <w:szCs w:val="21"/>
              </w:rPr>
            </w:pPr>
            <w:r>
              <w:rPr>
                <w:rFonts w:hint="eastAsia" w:ascii="宋体" w:hAnsi="宋体" w:eastAsia="宋体" w:cs="宋体"/>
                <w:szCs w:val="21"/>
              </w:rPr>
              <w:t>序号</w:t>
            </w:r>
          </w:p>
        </w:tc>
        <w:tc>
          <w:tcPr>
            <w:tcW w:w="654" w:type="pct"/>
            <w:vAlign w:val="center"/>
          </w:tcPr>
          <w:p>
            <w:pPr>
              <w:spacing w:line="240" w:lineRule="auto"/>
              <w:jc w:val="center"/>
              <w:rPr>
                <w:rFonts w:ascii="宋体" w:hAnsi="宋体" w:eastAsia="宋体" w:cs="宋体"/>
                <w:szCs w:val="21"/>
              </w:rPr>
            </w:pPr>
            <w:r>
              <w:rPr>
                <w:rFonts w:hint="eastAsia" w:ascii="宋体" w:hAnsi="宋体" w:eastAsia="宋体" w:cs="宋体"/>
                <w:szCs w:val="21"/>
              </w:rPr>
              <w:t>评分因素及权重</w:t>
            </w:r>
          </w:p>
        </w:tc>
        <w:tc>
          <w:tcPr>
            <w:tcW w:w="490" w:type="pct"/>
            <w:vAlign w:val="center"/>
          </w:tcPr>
          <w:p>
            <w:pPr>
              <w:spacing w:line="240" w:lineRule="auto"/>
              <w:ind w:firstLine="28"/>
              <w:jc w:val="center"/>
              <w:rPr>
                <w:rFonts w:ascii="宋体" w:hAnsi="宋体" w:eastAsia="宋体" w:cs="宋体"/>
                <w:szCs w:val="21"/>
              </w:rPr>
            </w:pPr>
            <w:r>
              <w:rPr>
                <w:rFonts w:hint="eastAsia" w:ascii="宋体" w:hAnsi="宋体" w:eastAsia="宋体" w:cs="宋体"/>
                <w:szCs w:val="21"/>
              </w:rPr>
              <w:t>分值</w:t>
            </w:r>
          </w:p>
        </w:tc>
        <w:tc>
          <w:tcPr>
            <w:tcW w:w="3525" w:type="pct"/>
            <w:vAlign w:val="center"/>
          </w:tcPr>
          <w:p>
            <w:pPr>
              <w:spacing w:line="240" w:lineRule="auto"/>
              <w:ind w:firstLine="28"/>
              <w:jc w:val="center"/>
              <w:rPr>
                <w:rFonts w:ascii="宋体" w:hAnsi="宋体" w:eastAsia="宋体" w:cs="宋体"/>
                <w:szCs w:val="21"/>
              </w:rPr>
            </w:pPr>
            <w:r>
              <w:rPr>
                <w:rFonts w:hint="eastAsia" w:ascii="宋体" w:hAnsi="宋体" w:eastAsia="宋体" w:cs="宋体"/>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330" w:type="pct"/>
            <w:vAlign w:val="center"/>
          </w:tcPr>
          <w:p>
            <w:pPr>
              <w:spacing w:line="240" w:lineRule="auto"/>
              <w:jc w:val="center"/>
              <w:rPr>
                <w:rFonts w:ascii="宋体" w:hAnsi="宋体" w:eastAsia="宋体" w:cs="宋体"/>
                <w:szCs w:val="21"/>
              </w:rPr>
            </w:pPr>
            <w:r>
              <w:rPr>
                <w:rFonts w:hint="eastAsia" w:ascii="宋体" w:hAnsi="宋体" w:eastAsia="宋体" w:cs="宋体"/>
                <w:szCs w:val="21"/>
              </w:rPr>
              <w:t>1</w:t>
            </w:r>
          </w:p>
        </w:tc>
        <w:tc>
          <w:tcPr>
            <w:tcW w:w="654" w:type="pct"/>
            <w:vAlign w:val="center"/>
          </w:tcPr>
          <w:p>
            <w:pPr>
              <w:spacing w:line="240" w:lineRule="auto"/>
              <w:jc w:val="center"/>
              <w:rPr>
                <w:rFonts w:ascii="宋体" w:hAnsi="宋体" w:eastAsia="宋体" w:cs="宋体"/>
                <w:szCs w:val="21"/>
              </w:rPr>
            </w:pPr>
            <w:r>
              <w:rPr>
                <w:rFonts w:hint="eastAsia" w:ascii="宋体" w:hAnsi="宋体" w:eastAsia="宋体" w:cs="宋体"/>
                <w:szCs w:val="21"/>
              </w:rPr>
              <w:t>响应报价</w:t>
            </w:r>
            <w:r>
              <w:rPr>
                <w:rFonts w:hint="eastAsia" w:ascii="宋体" w:hAnsi="宋体" w:eastAsia="宋体" w:cs="宋体"/>
                <w:szCs w:val="21"/>
                <w:lang w:val="en-US" w:eastAsia="zh-CN"/>
              </w:rPr>
              <w:t>30</w:t>
            </w:r>
            <w:r>
              <w:rPr>
                <w:rFonts w:hint="eastAsia" w:ascii="宋体" w:hAnsi="宋体" w:eastAsia="宋体" w:cs="宋体"/>
                <w:szCs w:val="21"/>
              </w:rPr>
              <w:t>%</w:t>
            </w:r>
          </w:p>
        </w:tc>
        <w:tc>
          <w:tcPr>
            <w:tcW w:w="490" w:type="pct"/>
            <w:vAlign w:val="center"/>
          </w:tcPr>
          <w:p>
            <w:pPr>
              <w:spacing w:line="240" w:lineRule="auto"/>
              <w:jc w:val="center"/>
              <w:rPr>
                <w:rFonts w:ascii="宋体" w:hAnsi="宋体" w:eastAsia="宋体" w:cs="宋体"/>
                <w:szCs w:val="21"/>
              </w:rPr>
            </w:pPr>
            <w:r>
              <w:rPr>
                <w:rFonts w:hint="eastAsia" w:ascii="宋体" w:hAnsi="宋体" w:eastAsia="宋体" w:cs="宋体"/>
                <w:szCs w:val="21"/>
                <w:lang w:val="en-US" w:eastAsia="zh-CN"/>
              </w:rPr>
              <w:t>30</w:t>
            </w:r>
            <w:r>
              <w:rPr>
                <w:rFonts w:hint="eastAsia" w:ascii="宋体" w:hAnsi="宋体" w:eastAsia="宋体" w:cs="宋体"/>
                <w:szCs w:val="21"/>
              </w:rPr>
              <w:t>分</w:t>
            </w:r>
          </w:p>
        </w:tc>
        <w:tc>
          <w:tcPr>
            <w:tcW w:w="3525" w:type="pct"/>
            <w:vAlign w:val="center"/>
          </w:tcPr>
          <w:p>
            <w:pPr>
              <w:keepNext/>
              <w:keepLines/>
              <w:pageBreakBefore w:val="0"/>
              <w:widowControl w:val="0"/>
              <w:kinsoku/>
              <w:wordWrap w:val="0"/>
              <w:overflowPunct/>
              <w:topLinePunct/>
              <w:autoSpaceDE/>
              <w:autoSpaceDN/>
              <w:bidi w:val="0"/>
              <w:adjustRightInd/>
              <w:snapToGrid/>
              <w:spacing w:line="240" w:lineRule="exact"/>
              <w:jc w:val="left"/>
              <w:textAlignment w:val="auto"/>
              <w:rPr>
                <w:rFonts w:ascii="宋体" w:hAnsi="宋体" w:eastAsia="宋体" w:cs="宋体"/>
                <w:szCs w:val="21"/>
              </w:rPr>
            </w:pPr>
            <w:r>
              <w:rPr>
                <w:rFonts w:hint="eastAsia" w:ascii="宋体" w:hAnsi="宋体" w:eastAsia="宋体" w:cs="宋体"/>
                <w:szCs w:val="21"/>
              </w:rPr>
              <w:t>满足比选文件要求且响应价格最低的比选报价为评审基准价，其价格分为满分。其他</w:t>
            </w:r>
            <w:r>
              <w:rPr>
                <w:rFonts w:hint="eastAsia" w:ascii="宋体" w:hAnsi="宋体" w:cs="宋体"/>
                <w:szCs w:val="21"/>
              </w:rPr>
              <w:t>比选申请人</w:t>
            </w:r>
            <w:r>
              <w:rPr>
                <w:rFonts w:hint="eastAsia" w:ascii="宋体" w:hAnsi="宋体" w:eastAsia="宋体" w:cs="宋体"/>
                <w:szCs w:val="21"/>
              </w:rPr>
              <w:t>的价格分统一按照下列公式计算：报价得分=(评审基准价／比选报价)*</w:t>
            </w:r>
            <w:r>
              <w:rPr>
                <w:rFonts w:hint="eastAsia" w:ascii="宋体" w:hAnsi="宋体" w:eastAsia="宋体" w:cs="宋体"/>
                <w:szCs w:val="21"/>
                <w:lang w:val="en-US" w:eastAsia="zh-CN"/>
              </w:rPr>
              <w:t>30</w:t>
            </w:r>
            <w:r>
              <w:rPr>
                <w:rFonts w:hint="eastAsia" w:ascii="宋体" w:hAnsi="宋体" w:eastAsia="宋体" w:cs="宋体"/>
                <w:szCs w:val="21"/>
              </w:rPr>
              <w:t>分。报价单模板见附件一。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exact"/>
        </w:trPr>
        <w:tc>
          <w:tcPr>
            <w:tcW w:w="330" w:type="pct"/>
            <w:vAlign w:val="center"/>
          </w:tcPr>
          <w:p>
            <w:pPr>
              <w:spacing w:line="240" w:lineRule="auto"/>
              <w:jc w:val="center"/>
              <w:rPr>
                <w:rFonts w:ascii="宋体" w:hAnsi="宋体" w:eastAsia="宋体" w:cs="宋体"/>
                <w:szCs w:val="21"/>
              </w:rPr>
            </w:pPr>
            <w:r>
              <w:rPr>
                <w:rFonts w:hint="eastAsia" w:ascii="宋体" w:hAnsi="宋体" w:eastAsia="宋体" w:cs="宋体"/>
                <w:szCs w:val="21"/>
              </w:rPr>
              <w:t>2</w:t>
            </w:r>
          </w:p>
        </w:tc>
        <w:tc>
          <w:tcPr>
            <w:tcW w:w="654" w:type="pct"/>
            <w:vAlign w:val="center"/>
          </w:tcPr>
          <w:p>
            <w:pPr>
              <w:spacing w:line="240" w:lineRule="auto"/>
              <w:jc w:val="center"/>
              <w:rPr>
                <w:rFonts w:ascii="宋体" w:hAnsi="宋体" w:eastAsia="宋体" w:cs="宋体"/>
                <w:szCs w:val="21"/>
              </w:rPr>
            </w:pPr>
            <w:r>
              <w:rPr>
                <w:rFonts w:hint="eastAsia" w:ascii="宋体" w:hAnsi="宋体" w:eastAsia="宋体" w:cs="宋体"/>
                <w:szCs w:val="21"/>
              </w:rPr>
              <w:t>履约能力</w:t>
            </w:r>
            <w:r>
              <w:rPr>
                <w:rFonts w:hint="eastAsia" w:ascii="宋体" w:hAnsi="宋体" w:eastAsia="宋体" w:cs="宋体"/>
                <w:szCs w:val="21"/>
                <w:lang w:val="en-US" w:eastAsia="zh-CN"/>
              </w:rPr>
              <w:t>20</w:t>
            </w:r>
            <w:r>
              <w:rPr>
                <w:rFonts w:hint="eastAsia" w:ascii="宋体" w:hAnsi="宋体" w:eastAsia="宋体" w:cs="宋体"/>
                <w:szCs w:val="21"/>
              </w:rPr>
              <w:t>%</w:t>
            </w:r>
          </w:p>
        </w:tc>
        <w:tc>
          <w:tcPr>
            <w:tcW w:w="490" w:type="pct"/>
            <w:vAlign w:val="center"/>
          </w:tcPr>
          <w:p>
            <w:pPr>
              <w:spacing w:line="240" w:lineRule="auto"/>
              <w:jc w:val="center"/>
              <w:rPr>
                <w:rFonts w:ascii="宋体" w:hAnsi="宋体" w:eastAsia="宋体" w:cs="宋体"/>
                <w:szCs w:val="21"/>
              </w:rPr>
            </w:pPr>
            <w:r>
              <w:rPr>
                <w:rFonts w:hint="eastAsia" w:ascii="宋体" w:hAnsi="宋体" w:eastAsia="宋体" w:cs="宋体"/>
                <w:szCs w:val="21"/>
                <w:lang w:val="en-US" w:eastAsia="zh-CN"/>
              </w:rPr>
              <w:t>20</w:t>
            </w:r>
            <w:r>
              <w:rPr>
                <w:rFonts w:hint="eastAsia" w:ascii="宋体" w:hAnsi="宋体" w:eastAsia="宋体" w:cs="宋体"/>
                <w:szCs w:val="21"/>
              </w:rPr>
              <w:t>分</w:t>
            </w:r>
          </w:p>
        </w:tc>
        <w:tc>
          <w:tcPr>
            <w:tcW w:w="3525" w:type="pct"/>
            <w:vAlign w:val="center"/>
          </w:tcPr>
          <w:p>
            <w:pPr>
              <w:keepNext/>
              <w:keepLines/>
              <w:pageBreakBefore w:val="0"/>
              <w:widowControl w:val="0"/>
              <w:kinsoku/>
              <w:wordWrap w:val="0"/>
              <w:overflowPunct/>
              <w:topLinePunct/>
              <w:autoSpaceDE/>
              <w:autoSpaceDN/>
              <w:bidi w:val="0"/>
              <w:adjustRightInd/>
              <w:snapToGrid/>
              <w:spacing w:line="240" w:lineRule="exact"/>
              <w:jc w:val="left"/>
              <w:textAlignment w:val="auto"/>
              <w:rPr>
                <w:rFonts w:ascii="宋体" w:hAnsi="宋体" w:eastAsia="宋体" w:cs="宋体"/>
                <w:szCs w:val="21"/>
              </w:rPr>
            </w:pPr>
            <w:r>
              <w:rPr>
                <w:rFonts w:hint="eastAsia" w:ascii="宋体" w:hAnsi="宋体" w:cs="宋体"/>
                <w:szCs w:val="21"/>
              </w:rPr>
              <w:t>比选申请人</w:t>
            </w:r>
            <w:r>
              <w:rPr>
                <w:rFonts w:hint="eastAsia" w:ascii="宋体" w:hAnsi="宋体" w:eastAsia="宋体" w:cs="宋体"/>
                <w:szCs w:val="21"/>
              </w:rPr>
              <w:t>自</w:t>
            </w:r>
            <w:r>
              <w:rPr>
                <w:rFonts w:hint="eastAsia" w:ascii="宋体" w:hAnsi="宋体" w:eastAsia="宋体" w:cs="宋体"/>
                <w:szCs w:val="21"/>
                <w:lang w:val="en-US" w:eastAsia="zh-CN"/>
              </w:rPr>
              <w:t>2020</w:t>
            </w:r>
            <w:r>
              <w:rPr>
                <w:rFonts w:hint="eastAsia" w:ascii="宋体" w:hAnsi="宋体" w:eastAsia="宋体" w:cs="宋体"/>
                <w:szCs w:val="21"/>
              </w:rPr>
              <w:t>年1月1日（含）以来每有1个类似项目业绩的得5分，最多得</w:t>
            </w:r>
            <w:r>
              <w:rPr>
                <w:rFonts w:hint="eastAsia" w:ascii="宋体" w:hAnsi="宋体" w:eastAsia="宋体" w:cs="宋体"/>
                <w:szCs w:val="21"/>
                <w:lang w:val="en-US" w:eastAsia="zh-CN"/>
              </w:rPr>
              <w:t>20</w:t>
            </w:r>
            <w:r>
              <w:rPr>
                <w:rFonts w:hint="eastAsia" w:ascii="宋体" w:hAnsi="宋体" w:eastAsia="宋体" w:cs="宋体"/>
                <w:szCs w:val="21"/>
              </w:rPr>
              <w:t>分。</w:t>
            </w:r>
          </w:p>
          <w:p>
            <w:pPr>
              <w:keepNext/>
              <w:keepLines/>
              <w:pageBreakBefore w:val="0"/>
              <w:widowControl w:val="0"/>
              <w:kinsoku/>
              <w:wordWrap w:val="0"/>
              <w:overflowPunct/>
              <w:topLinePunct/>
              <w:autoSpaceDE/>
              <w:autoSpaceDN/>
              <w:bidi w:val="0"/>
              <w:adjustRightInd/>
              <w:snapToGrid/>
              <w:spacing w:line="240" w:lineRule="exact"/>
              <w:jc w:val="left"/>
              <w:textAlignment w:val="auto"/>
              <w:rPr>
                <w:rFonts w:ascii="宋体" w:hAnsi="宋体" w:eastAsia="宋体" w:cs="宋体"/>
                <w:szCs w:val="21"/>
              </w:rPr>
            </w:pPr>
            <w:r>
              <w:rPr>
                <w:rFonts w:hint="eastAsia" w:ascii="宋体" w:hAnsi="宋体" w:eastAsia="宋体" w:cs="宋体"/>
                <w:szCs w:val="21"/>
              </w:rPr>
              <w:t>注：提供中标（成交）通知书复印件或合同复印件并加盖鲜章。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330" w:type="pct"/>
            <w:vAlign w:val="center"/>
          </w:tcPr>
          <w:p>
            <w:pPr>
              <w:spacing w:line="240" w:lineRule="auto"/>
              <w:ind w:firstLine="28"/>
              <w:jc w:val="center"/>
              <w:rPr>
                <w:rFonts w:ascii="宋体" w:hAnsi="宋体" w:eastAsia="宋体" w:cs="宋体"/>
                <w:szCs w:val="21"/>
              </w:rPr>
            </w:pPr>
            <w:r>
              <w:rPr>
                <w:rFonts w:hint="eastAsia" w:ascii="宋体" w:hAnsi="宋体" w:eastAsia="宋体" w:cs="宋体"/>
                <w:szCs w:val="21"/>
              </w:rPr>
              <w:t>3</w:t>
            </w:r>
          </w:p>
        </w:tc>
        <w:tc>
          <w:tcPr>
            <w:tcW w:w="654" w:type="pct"/>
            <w:vAlign w:val="center"/>
          </w:tcPr>
          <w:p>
            <w:pPr>
              <w:spacing w:line="240" w:lineRule="auto"/>
              <w:jc w:val="center"/>
              <w:rPr>
                <w:rFonts w:ascii="宋体" w:hAnsi="宋体" w:eastAsia="宋体" w:cs="宋体"/>
                <w:szCs w:val="21"/>
              </w:rPr>
            </w:pPr>
            <w:r>
              <w:rPr>
                <w:rFonts w:hint="eastAsia" w:ascii="宋体" w:hAnsi="宋体" w:eastAsia="宋体" w:cs="宋体"/>
                <w:szCs w:val="21"/>
              </w:rPr>
              <w:t>实施方案</w:t>
            </w:r>
            <w:r>
              <w:rPr>
                <w:rFonts w:hint="eastAsia" w:ascii="宋体" w:hAnsi="宋体" w:eastAsia="宋体" w:cs="宋体"/>
                <w:szCs w:val="21"/>
                <w:lang w:val="en-US" w:eastAsia="zh-CN"/>
              </w:rPr>
              <w:t>50</w:t>
            </w:r>
            <w:r>
              <w:rPr>
                <w:rFonts w:hint="eastAsia" w:ascii="宋体" w:hAnsi="宋体" w:eastAsia="宋体" w:cs="宋体"/>
                <w:szCs w:val="21"/>
              </w:rPr>
              <w:t>%</w:t>
            </w:r>
          </w:p>
        </w:tc>
        <w:tc>
          <w:tcPr>
            <w:tcW w:w="490" w:type="pct"/>
            <w:vAlign w:val="center"/>
          </w:tcPr>
          <w:p>
            <w:pPr>
              <w:spacing w:line="240" w:lineRule="auto"/>
              <w:ind w:firstLine="28"/>
              <w:jc w:val="center"/>
              <w:rPr>
                <w:rFonts w:ascii="宋体" w:hAnsi="宋体" w:eastAsia="宋体" w:cs="宋体"/>
                <w:szCs w:val="21"/>
              </w:rPr>
            </w:pPr>
            <w:r>
              <w:rPr>
                <w:rFonts w:hint="eastAsia" w:ascii="宋体" w:hAnsi="宋体" w:eastAsia="宋体" w:cs="宋体"/>
                <w:szCs w:val="21"/>
                <w:lang w:val="en-US" w:eastAsia="zh-CN"/>
              </w:rPr>
              <w:t>50</w:t>
            </w:r>
            <w:r>
              <w:rPr>
                <w:rFonts w:hint="eastAsia" w:ascii="宋体" w:hAnsi="宋体" w:eastAsia="宋体" w:cs="宋体"/>
                <w:szCs w:val="21"/>
              </w:rPr>
              <w:t>分</w:t>
            </w:r>
          </w:p>
        </w:tc>
        <w:tc>
          <w:tcPr>
            <w:tcW w:w="3525" w:type="pc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Cs w:val="21"/>
                <w:lang w:eastAsia="zh-CN"/>
              </w:rPr>
            </w:pPr>
            <w:r>
              <w:rPr>
                <w:rFonts w:hint="eastAsia" w:ascii="宋体" w:hAnsi="宋体" w:eastAsia="宋体" w:cs="宋体"/>
                <w:szCs w:val="21"/>
              </w:rPr>
              <w:t>根据</w:t>
            </w:r>
            <w:r>
              <w:rPr>
                <w:rFonts w:hint="eastAsia" w:ascii="宋体" w:hAnsi="宋体" w:cs="宋体"/>
                <w:szCs w:val="21"/>
              </w:rPr>
              <w:t>比选申请人</w:t>
            </w:r>
            <w:r>
              <w:rPr>
                <w:rFonts w:hint="eastAsia" w:ascii="宋体" w:hAnsi="宋体" w:eastAsia="宋体" w:cs="宋体"/>
                <w:szCs w:val="21"/>
              </w:rPr>
              <w:t>提供的对项目的</w:t>
            </w:r>
            <w:r>
              <w:rPr>
                <w:rFonts w:hint="eastAsia" w:ascii="宋体" w:hAnsi="宋体" w:eastAsia="宋体" w:cs="宋体"/>
                <w:bCs/>
                <w:szCs w:val="21"/>
              </w:rPr>
              <w:t>实施方案</w:t>
            </w:r>
            <w:r>
              <w:rPr>
                <w:rFonts w:hint="eastAsia" w:ascii="宋体" w:hAnsi="宋体" w:eastAsia="宋体" w:cs="宋体"/>
                <w:szCs w:val="21"/>
              </w:rPr>
              <w:t>内容进行评审，内容至少包含：</w:t>
            </w:r>
            <w:r>
              <w:rPr>
                <w:rFonts w:hint="eastAsia" w:ascii="宋体" w:hAnsi="宋体" w:eastAsia="宋体" w:cs="宋体"/>
                <w:b/>
                <w:bCs/>
                <w:szCs w:val="21"/>
              </w:rPr>
              <w:t>①配送方式；②</w:t>
            </w:r>
            <w:r>
              <w:rPr>
                <w:rFonts w:hint="eastAsia" w:ascii="宋体" w:hAnsi="宋体" w:eastAsia="宋体" w:cs="宋体"/>
                <w:b/>
                <w:bCs/>
                <w:szCs w:val="21"/>
                <w:lang w:eastAsia="zh-CN"/>
              </w:rPr>
              <w:t>样品检测报告</w:t>
            </w:r>
            <w:r>
              <w:rPr>
                <w:rFonts w:hint="eastAsia" w:ascii="宋体" w:hAnsi="宋体" w:eastAsia="宋体" w:cs="宋体"/>
                <w:b/>
                <w:bCs/>
                <w:szCs w:val="21"/>
              </w:rPr>
              <w:t>；③</w:t>
            </w:r>
            <w:r>
              <w:rPr>
                <w:rFonts w:hint="eastAsia" w:ascii="宋体" w:hAnsi="宋体" w:eastAsia="宋体" w:cs="宋体"/>
                <w:b/>
                <w:bCs/>
                <w:szCs w:val="21"/>
                <w:lang w:eastAsia="zh-CN"/>
              </w:rPr>
              <w:t>售后服务</w:t>
            </w:r>
            <w:r>
              <w:rPr>
                <w:rFonts w:hint="eastAsia" w:ascii="宋体" w:hAnsi="宋体" w:eastAsia="宋体" w:cs="宋体"/>
                <w:b/>
                <w:bCs/>
                <w:szCs w:val="21"/>
              </w:rPr>
              <w:t>；④</w:t>
            </w:r>
            <w:r>
              <w:rPr>
                <w:rFonts w:hint="eastAsia" w:ascii="宋体" w:hAnsi="宋体" w:eastAsia="宋体" w:cs="宋体"/>
                <w:b/>
                <w:bCs/>
                <w:szCs w:val="21"/>
                <w:lang w:eastAsia="zh-CN"/>
              </w:rPr>
              <w:t>承诺书；⑤合格证</w:t>
            </w:r>
            <w:r>
              <w:rPr>
                <w:rFonts w:hint="eastAsia" w:ascii="宋体" w:hAnsi="宋体" w:eastAsia="宋体" w:cs="宋体"/>
                <w:b/>
                <w:bCs/>
                <w:szCs w:val="21"/>
              </w:rPr>
              <w:t>，</w:t>
            </w:r>
            <w:r>
              <w:rPr>
                <w:rFonts w:hint="eastAsia" w:ascii="宋体" w:hAnsi="宋体" w:eastAsia="宋体" w:cs="宋体"/>
                <w:szCs w:val="21"/>
              </w:rPr>
              <w:t>进行综合评审，内容齐全且满足本项目实施进度及管理需求的得</w:t>
            </w:r>
            <w:r>
              <w:rPr>
                <w:rFonts w:hint="eastAsia" w:ascii="宋体" w:hAnsi="宋体" w:eastAsia="宋体" w:cs="宋体"/>
                <w:szCs w:val="21"/>
                <w:lang w:val="en-US" w:eastAsia="zh-CN"/>
              </w:rPr>
              <w:t>50</w:t>
            </w:r>
            <w:r>
              <w:rPr>
                <w:rFonts w:hint="eastAsia" w:ascii="宋体" w:hAnsi="宋体" w:eastAsia="宋体" w:cs="宋体"/>
                <w:szCs w:val="21"/>
              </w:rPr>
              <w:t>分，每有一项内容缺失扣</w:t>
            </w:r>
            <w:r>
              <w:rPr>
                <w:rFonts w:hint="eastAsia" w:ascii="宋体" w:hAnsi="宋体" w:eastAsia="宋体" w:cs="宋体"/>
                <w:szCs w:val="21"/>
                <w:lang w:val="en-US" w:eastAsia="zh-CN"/>
              </w:rPr>
              <w:t>10</w:t>
            </w:r>
            <w:r>
              <w:rPr>
                <w:rFonts w:hint="eastAsia" w:ascii="宋体" w:hAnsi="宋体" w:eastAsia="宋体" w:cs="宋体"/>
                <w:szCs w:val="21"/>
              </w:rPr>
              <w:t>分，每有一项内容描述不合理或不完善的扣</w:t>
            </w:r>
            <w:r>
              <w:rPr>
                <w:rFonts w:hint="eastAsia" w:ascii="宋体" w:hAnsi="宋体" w:eastAsia="宋体" w:cs="宋体"/>
                <w:szCs w:val="21"/>
                <w:lang w:val="en-US" w:eastAsia="zh-CN"/>
              </w:rPr>
              <w:t>2.5</w:t>
            </w:r>
            <w:r>
              <w:rPr>
                <w:rFonts w:hint="eastAsia" w:ascii="宋体" w:hAnsi="宋体" w:eastAsia="宋体" w:cs="宋体"/>
                <w:szCs w:val="21"/>
              </w:rPr>
              <w:t>分，扣完为止。</w:t>
            </w:r>
            <w:r>
              <w:rPr>
                <w:rFonts w:hint="eastAsia" w:ascii="宋体" w:hAnsi="宋体" w:eastAsia="宋体" w:cs="宋体"/>
                <w:szCs w:val="21"/>
                <w:lang w:eastAsia="zh-CN"/>
              </w:rPr>
              <w:t>格式自拟。</w:t>
            </w:r>
          </w:p>
        </w:tc>
      </w:tr>
    </w:tbl>
    <w:p>
      <w:pPr>
        <w:spacing w:line="240" w:lineRule="auto"/>
        <w:rPr>
          <w:rFonts w:ascii="宋体" w:hAnsi="宋体" w:eastAsia="宋体"/>
          <w:sz w:val="21"/>
          <w:szCs w:val="21"/>
        </w:rPr>
      </w:pPr>
      <w:bookmarkStart w:id="0" w:name="_GoBack"/>
      <w:bookmarkEnd w:id="0"/>
    </w:p>
    <w:p>
      <w:pPr>
        <w:spacing w:line="240" w:lineRule="auto"/>
        <w:ind w:firstLine="420" w:firstLineChars="200"/>
        <w:rPr>
          <w:rFonts w:ascii="宋体" w:hAnsi="宋体" w:eastAsia="宋体"/>
          <w:sz w:val="21"/>
          <w:szCs w:val="21"/>
        </w:rPr>
      </w:pPr>
      <w:r>
        <w:rPr>
          <w:rFonts w:hint="eastAsia" w:ascii="宋体" w:hAnsi="宋体" w:eastAsia="宋体"/>
          <w:sz w:val="21"/>
          <w:szCs w:val="21"/>
        </w:rPr>
        <w:t>三、联系方式</w:t>
      </w:r>
    </w:p>
    <w:p>
      <w:pPr>
        <w:spacing w:line="240" w:lineRule="auto"/>
        <w:ind w:firstLine="840" w:firstLineChars="400"/>
        <w:rPr>
          <w:rFonts w:ascii="宋体" w:hAnsi="宋体" w:eastAsia="宋体"/>
          <w:sz w:val="21"/>
          <w:szCs w:val="21"/>
        </w:rPr>
      </w:pPr>
      <w:r>
        <w:rPr>
          <w:rFonts w:hint="eastAsia" w:ascii="宋体" w:hAnsi="宋体" w:eastAsia="宋体"/>
          <w:sz w:val="21"/>
          <w:szCs w:val="21"/>
        </w:rPr>
        <w:t xml:space="preserve">联系人：牟老师 </w:t>
      </w:r>
      <w:r>
        <w:rPr>
          <w:rFonts w:ascii="宋体" w:hAnsi="宋体" w:eastAsia="宋体"/>
          <w:sz w:val="21"/>
          <w:szCs w:val="21"/>
        </w:rPr>
        <w:t xml:space="preserve">  </w:t>
      </w:r>
      <w:r>
        <w:rPr>
          <w:rFonts w:hint="eastAsia" w:ascii="宋体" w:hAnsi="宋体" w:eastAsia="宋体"/>
          <w:sz w:val="21"/>
          <w:szCs w:val="21"/>
        </w:rPr>
        <w:t>联系电话：8</w:t>
      </w:r>
      <w:r>
        <w:rPr>
          <w:rFonts w:ascii="宋体" w:hAnsi="宋体" w:eastAsia="宋体"/>
          <w:sz w:val="21"/>
          <w:szCs w:val="21"/>
        </w:rPr>
        <w:t>5193760-8205</w:t>
      </w:r>
    </w:p>
    <w:p>
      <w:pPr>
        <w:spacing w:line="240" w:lineRule="auto"/>
        <w:ind w:firstLine="720"/>
        <w:jc w:val="right"/>
        <w:rPr>
          <w:rFonts w:ascii="宋体" w:hAnsi="宋体" w:eastAsia="宋体"/>
          <w:sz w:val="21"/>
          <w:szCs w:val="21"/>
        </w:rPr>
      </w:pPr>
      <w:r>
        <w:rPr>
          <w:rFonts w:hint="eastAsia" w:ascii="宋体" w:hAnsi="宋体" w:eastAsia="宋体"/>
          <w:sz w:val="21"/>
          <w:szCs w:val="21"/>
        </w:rPr>
        <w:t xml:space="preserve">   </w:t>
      </w:r>
    </w:p>
    <w:p>
      <w:pPr>
        <w:spacing w:line="240" w:lineRule="auto"/>
        <w:ind w:firstLine="720"/>
        <w:jc w:val="right"/>
        <w:rPr>
          <w:rFonts w:ascii="宋体" w:hAnsi="宋体" w:eastAsia="宋体"/>
          <w:sz w:val="21"/>
          <w:szCs w:val="21"/>
        </w:rPr>
      </w:pPr>
      <w:r>
        <w:rPr>
          <w:rFonts w:hint="eastAsia" w:ascii="宋体" w:hAnsi="宋体" w:eastAsia="宋体"/>
          <w:sz w:val="21"/>
          <w:szCs w:val="21"/>
        </w:rPr>
        <w:t>成都市泡桐树小学（天府校区）</w:t>
      </w:r>
    </w:p>
    <w:p>
      <w:pPr>
        <w:spacing w:line="240" w:lineRule="auto"/>
        <w:ind w:firstLine="640"/>
        <w:jc w:val="right"/>
        <w:rPr>
          <w:rFonts w:hint="eastAsia" w:ascii="宋体" w:hAnsi="宋体" w:eastAsia="宋体"/>
          <w:sz w:val="21"/>
          <w:szCs w:val="21"/>
          <w:highlight w:val="none"/>
        </w:rPr>
      </w:pPr>
      <w:r>
        <w:rPr>
          <w:rFonts w:hint="eastAsia" w:ascii="宋体" w:hAnsi="宋体" w:eastAsia="宋体"/>
          <w:sz w:val="21"/>
          <w:szCs w:val="21"/>
          <w:highlight w:val="none"/>
        </w:rPr>
        <w:t>202</w:t>
      </w:r>
      <w:r>
        <w:rPr>
          <w:rFonts w:hint="eastAsia" w:ascii="宋体" w:hAnsi="宋体" w:eastAsia="宋体"/>
          <w:sz w:val="21"/>
          <w:szCs w:val="21"/>
          <w:highlight w:val="none"/>
          <w:lang w:val="en-US" w:eastAsia="zh-CN"/>
        </w:rPr>
        <w:t>4</w:t>
      </w:r>
      <w:r>
        <w:rPr>
          <w:rFonts w:hint="eastAsia" w:ascii="宋体" w:hAnsi="宋体" w:eastAsia="宋体"/>
          <w:sz w:val="21"/>
          <w:szCs w:val="21"/>
          <w:highlight w:val="none"/>
        </w:rPr>
        <w:t>年</w:t>
      </w:r>
      <w:r>
        <w:rPr>
          <w:rFonts w:hint="eastAsia" w:ascii="宋体" w:hAnsi="宋体" w:eastAsia="宋体"/>
          <w:sz w:val="21"/>
          <w:szCs w:val="21"/>
          <w:highlight w:val="none"/>
          <w:lang w:val="en-US" w:eastAsia="zh-CN"/>
        </w:rPr>
        <w:t>10</w:t>
      </w:r>
      <w:r>
        <w:rPr>
          <w:rFonts w:hint="eastAsia" w:ascii="宋体" w:hAnsi="宋体" w:eastAsia="宋体"/>
          <w:sz w:val="21"/>
          <w:szCs w:val="21"/>
          <w:highlight w:val="none"/>
        </w:rPr>
        <w:t>月</w:t>
      </w:r>
      <w:r>
        <w:rPr>
          <w:rFonts w:hint="eastAsia" w:ascii="宋体" w:hAnsi="宋体" w:eastAsia="宋体"/>
          <w:sz w:val="21"/>
          <w:szCs w:val="21"/>
          <w:highlight w:val="none"/>
          <w:lang w:val="en-US" w:eastAsia="zh-CN"/>
        </w:rPr>
        <w:t>25</w:t>
      </w:r>
      <w:r>
        <w:rPr>
          <w:rFonts w:hint="eastAsia" w:ascii="宋体" w:hAnsi="宋体" w:eastAsia="宋体"/>
          <w:sz w:val="21"/>
          <w:szCs w:val="21"/>
          <w:highlight w:val="none"/>
        </w:rPr>
        <w:t>日</w:t>
      </w:r>
    </w:p>
    <w:p>
      <w:pPr>
        <w:pStyle w:val="2"/>
        <w:rPr>
          <w:rFonts w:hint="eastAsia" w:ascii="宋体" w:hAnsi="宋体" w:eastAsia="宋体"/>
          <w:sz w:val="21"/>
          <w:szCs w:val="21"/>
          <w:highlight w:val="yellow"/>
        </w:rPr>
      </w:pPr>
    </w:p>
    <w:p>
      <w:pPr>
        <w:rPr>
          <w:b/>
          <w:bCs/>
          <w:sz w:val="28"/>
          <w:szCs w:val="28"/>
        </w:rPr>
      </w:pPr>
      <w:r>
        <w:rPr>
          <w:rFonts w:hint="eastAsia"/>
          <w:b/>
          <w:bCs/>
          <w:sz w:val="28"/>
          <w:szCs w:val="28"/>
        </w:rPr>
        <w:t>附件一：《报价单》</w:t>
      </w:r>
    </w:p>
    <w:p>
      <w:pPr>
        <w:jc w:val="center"/>
        <w:rPr>
          <w:rFonts w:ascii="微软雅黑" w:hAnsi="微软雅黑" w:eastAsia="微软雅黑" w:cs="微软雅黑"/>
          <w:b/>
          <w:color w:val="000000"/>
          <w:sz w:val="32"/>
          <w:szCs w:val="32"/>
        </w:rPr>
      </w:pPr>
      <w:r>
        <w:rPr>
          <w:rFonts w:hint="eastAsia" w:ascii="微软雅黑" w:hAnsi="微软雅黑" w:eastAsia="微软雅黑" w:cs="微软雅黑"/>
          <w:b/>
          <w:color w:val="000000"/>
          <w:sz w:val="32"/>
          <w:szCs w:val="32"/>
        </w:rPr>
        <w:t>成都市泡桐树小学（天府校区）</w:t>
      </w:r>
    </w:p>
    <w:p>
      <w:pPr>
        <w:jc w:val="center"/>
        <w:rPr>
          <w:rFonts w:hint="eastAsia" w:ascii="微软雅黑" w:hAnsi="微软雅黑" w:eastAsia="微软雅黑" w:cs="微软雅黑"/>
          <w:b/>
          <w:color w:val="000000"/>
          <w:sz w:val="32"/>
          <w:szCs w:val="32"/>
        </w:rPr>
      </w:pPr>
      <w:r>
        <w:rPr>
          <w:rFonts w:hint="eastAsia" w:ascii="微软雅黑" w:hAnsi="微软雅黑" w:eastAsia="微软雅黑" w:cs="微软雅黑"/>
          <w:b/>
          <w:color w:val="000000"/>
          <w:sz w:val="32"/>
          <w:szCs w:val="32"/>
          <w:lang w:val="en-US" w:eastAsia="zh-CN"/>
        </w:rPr>
        <w:t>2024体育教师服装</w:t>
      </w:r>
      <w:r>
        <w:rPr>
          <w:rFonts w:hint="eastAsia" w:ascii="微软雅黑" w:hAnsi="微软雅黑" w:eastAsia="微软雅黑" w:cs="微软雅黑"/>
          <w:b/>
          <w:color w:val="000000"/>
          <w:sz w:val="32"/>
          <w:szCs w:val="32"/>
        </w:rPr>
        <w:t>采购报价单</w:t>
      </w:r>
    </w:p>
    <w:p>
      <w:pPr>
        <w:keepNext w:val="0"/>
        <w:keepLines w:val="0"/>
        <w:pageBreakBefore w:val="0"/>
        <w:widowControl w:val="0"/>
        <w:tabs>
          <w:tab w:val="left" w:pos="4761"/>
        </w:tabs>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val="0"/>
          <w:bCs/>
          <w:sz w:val="24"/>
          <w:u w:val="single"/>
          <w:lang w:val="en-US" w:eastAsia="zh-CN"/>
        </w:rPr>
      </w:pPr>
      <w:r>
        <w:rPr>
          <w:rFonts w:hint="eastAsia" w:ascii="微软雅黑" w:hAnsi="微软雅黑" w:eastAsia="微软雅黑" w:cs="微软雅黑"/>
          <w:b w:val="0"/>
          <w:bCs/>
          <w:sz w:val="24"/>
        </w:rPr>
        <w:t>单位名称：</w:t>
      </w:r>
      <w:r>
        <w:rPr>
          <w:rFonts w:hint="eastAsia" w:ascii="微软雅黑" w:hAnsi="微软雅黑" w:eastAsia="微软雅黑" w:cs="微软雅黑"/>
          <w:b w:val="0"/>
          <w:bCs/>
          <w:sz w:val="24"/>
          <w:u w:val="single"/>
          <w:lang w:val="en-US" w:eastAsia="zh-CN"/>
        </w:rPr>
        <w:t xml:space="preserve">                                                </w:t>
      </w:r>
    </w:p>
    <w:p>
      <w:pPr>
        <w:keepNext w:val="0"/>
        <w:keepLines w:val="0"/>
        <w:pageBreakBefore w:val="0"/>
        <w:widowControl w:val="0"/>
        <w:tabs>
          <w:tab w:val="left" w:pos="4761"/>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sz w:val="24"/>
        </w:rPr>
      </w:pPr>
    </w:p>
    <w:p>
      <w:pPr>
        <w:keepNext w:val="0"/>
        <w:keepLines w:val="0"/>
        <w:pageBreakBefore w:val="0"/>
        <w:widowControl w:val="0"/>
        <w:tabs>
          <w:tab w:val="left" w:pos="4761"/>
        </w:tabs>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val="0"/>
          <w:bCs/>
          <w:sz w:val="24"/>
          <w:u w:val="single"/>
          <w:lang w:val="en-US" w:eastAsia="zh-CN"/>
        </w:rPr>
      </w:pPr>
      <w:r>
        <w:rPr>
          <w:rFonts w:hint="eastAsia" w:ascii="微软雅黑" w:hAnsi="微软雅黑" w:eastAsia="微软雅黑" w:cs="微软雅黑"/>
          <w:b w:val="0"/>
          <w:bCs/>
          <w:sz w:val="24"/>
        </w:rPr>
        <w:t>联系人：</w:t>
      </w:r>
      <w:r>
        <w:rPr>
          <w:rFonts w:hint="eastAsia" w:ascii="微软雅黑" w:hAnsi="微软雅黑" w:eastAsia="微软雅黑" w:cs="微软雅黑"/>
          <w:b w:val="0"/>
          <w:bCs/>
          <w:sz w:val="24"/>
          <w:lang w:val="en-US" w:eastAsia="zh-CN"/>
        </w:rPr>
        <w:t xml:space="preserve">  </w:t>
      </w:r>
      <w:r>
        <w:rPr>
          <w:rFonts w:hint="eastAsia" w:ascii="微软雅黑" w:hAnsi="微软雅黑" w:eastAsia="微软雅黑" w:cs="微软雅黑"/>
          <w:b w:val="0"/>
          <w:bCs/>
          <w:sz w:val="24"/>
          <w:u w:val="single"/>
          <w:lang w:val="en-US" w:eastAsia="zh-CN"/>
        </w:rPr>
        <w:t xml:space="preserve">                                                </w:t>
      </w:r>
    </w:p>
    <w:p>
      <w:pPr>
        <w:keepNext w:val="0"/>
        <w:keepLines w:val="0"/>
        <w:pageBreakBefore w:val="0"/>
        <w:widowControl w:val="0"/>
        <w:tabs>
          <w:tab w:val="left" w:pos="4761"/>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sz w:val="24"/>
        </w:rPr>
      </w:pPr>
    </w:p>
    <w:p>
      <w:pPr>
        <w:keepNext w:val="0"/>
        <w:keepLines w:val="0"/>
        <w:pageBreakBefore w:val="0"/>
        <w:widowControl w:val="0"/>
        <w:tabs>
          <w:tab w:val="left" w:pos="4761"/>
        </w:tabs>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val="0"/>
          <w:bCs/>
          <w:sz w:val="24"/>
          <w:u w:val="single"/>
          <w:lang w:val="en-US" w:eastAsia="zh-CN"/>
        </w:rPr>
      </w:pPr>
      <w:r>
        <w:rPr>
          <w:rFonts w:hint="eastAsia" w:ascii="微软雅黑" w:hAnsi="微软雅黑" w:eastAsia="微软雅黑" w:cs="微软雅黑"/>
          <w:b w:val="0"/>
          <w:bCs/>
          <w:sz w:val="24"/>
        </w:rPr>
        <w:t>联系电话：</w:t>
      </w:r>
      <w:r>
        <w:rPr>
          <w:rFonts w:hint="eastAsia" w:ascii="微软雅黑" w:hAnsi="微软雅黑" w:eastAsia="微软雅黑" w:cs="微软雅黑"/>
          <w:b w:val="0"/>
          <w:bCs/>
          <w:sz w:val="24"/>
          <w:u w:val="single"/>
          <w:lang w:val="en-US" w:eastAsia="zh-CN"/>
        </w:rPr>
        <w:t xml:space="preserve">                                                </w:t>
      </w:r>
    </w:p>
    <w:p>
      <w:pPr>
        <w:keepNext w:val="0"/>
        <w:keepLines w:val="0"/>
        <w:pageBreakBefore w:val="0"/>
        <w:widowControl w:val="0"/>
        <w:tabs>
          <w:tab w:val="left" w:pos="4761"/>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sz w:val="24"/>
        </w:rPr>
      </w:pPr>
    </w:p>
    <w:p>
      <w:pPr>
        <w:keepNext w:val="0"/>
        <w:keepLines w:val="0"/>
        <w:pageBreakBefore w:val="0"/>
        <w:widowControl w:val="0"/>
        <w:tabs>
          <w:tab w:val="left" w:pos="4761"/>
        </w:tabs>
        <w:kinsoku/>
        <w:wordWrap/>
        <w:overflowPunct/>
        <w:topLinePunct w:val="0"/>
        <w:autoSpaceDE/>
        <w:autoSpaceDN/>
        <w:bidi w:val="0"/>
        <w:adjustRightInd/>
        <w:snapToGrid/>
        <w:spacing w:line="400" w:lineRule="exact"/>
        <w:jc w:val="left"/>
        <w:textAlignment w:val="auto"/>
        <w:rPr>
          <w:rFonts w:ascii="微软雅黑" w:hAnsi="微软雅黑" w:eastAsia="微软雅黑" w:cs="微软雅黑"/>
          <w:b w:val="0"/>
          <w:bCs/>
          <w:sz w:val="24"/>
        </w:rPr>
      </w:pPr>
      <w:r>
        <w:rPr>
          <w:rFonts w:hint="eastAsia" w:ascii="微软雅黑" w:hAnsi="微软雅黑" w:eastAsia="微软雅黑" w:cs="微软雅黑"/>
          <w:b w:val="0"/>
          <w:bCs/>
          <w:sz w:val="24"/>
        </w:rPr>
        <w:t>报价日期：      年    月    日</w:t>
      </w:r>
    </w:p>
    <w:p>
      <w:pPr>
        <w:rPr>
          <w:rFonts w:hint="eastAsia"/>
          <w:sz w:val="24"/>
        </w:rPr>
      </w:pPr>
    </w:p>
    <w:p>
      <w:pPr>
        <w:jc w:val="left"/>
        <w:rPr>
          <w:rFonts w:hint="eastAsia" w:ascii="微软雅黑" w:hAnsi="微软雅黑" w:eastAsia="微软雅黑" w:cs="微软雅黑"/>
          <w:b w:val="0"/>
          <w:bCs/>
          <w:color w:val="000000"/>
          <w:sz w:val="24"/>
          <w:szCs w:val="24"/>
          <w:lang w:val="en-US" w:eastAsia="zh-CN"/>
        </w:rPr>
      </w:pPr>
      <w:r>
        <w:rPr>
          <w:rFonts w:hint="eastAsia" w:ascii="微软雅黑" w:hAnsi="微软雅黑" w:eastAsia="微软雅黑" w:cs="微软雅黑"/>
          <w:b w:val="0"/>
          <w:bCs/>
          <w:color w:val="000000"/>
          <w:sz w:val="24"/>
          <w:szCs w:val="24"/>
          <w:lang w:val="en-US" w:eastAsia="zh-CN"/>
        </w:rPr>
        <w:t>报价：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pStyle w:val="2"/>
              <w:jc w:val="center"/>
              <w:rPr>
                <w:rFonts w:hint="eastAsia" w:eastAsiaTheme="minorEastAsia"/>
                <w:vertAlign w:val="baseline"/>
                <w:lang w:val="en-US" w:eastAsia="zh-CN"/>
              </w:rPr>
            </w:pPr>
            <w:r>
              <w:rPr>
                <w:rFonts w:hint="eastAsia"/>
                <w:vertAlign w:val="baseline"/>
                <w:lang w:val="en-US" w:eastAsia="zh-CN"/>
              </w:rPr>
              <w:t>物品名称</w:t>
            </w:r>
          </w:p>
        </w:tc>
        <w:tc>
          <w:tcPr>
            <w:tcW w:w="1420" w:type="dxa"/>
          </w:tcPr>
          <w:p>
            <w:pPr>
              <w:pStyle w:val="2"/>
              <w:jc w:val="center"/>
              <w:rPr>
                <w:rFonts w:hint="eastAsia" w:eastAsiaTheme="minorEastAsia"/>
                <w:vertAlign w:val="baseline"/>
                <w:lang w:val="en-US" w:eastAsia="zh-CN"/>
              </w:rPr>
            </w:pPr>
            <w:r>
              <w:rPr>
                <w:rFonts w:hint="eastAsia"/>
                <w:vertAlign w:val="baseline"/>
                <w:lang w:val="en-US" w:eastAsia="zh-CN"/>
              </w:rPr>
              <w:t>数量</w:t>
            </w:r>
          </w:p>
        </w:tc>
        <w:tc>
          <w:tcPr>
            <w:tcW w:w="1420" w:type="dxa"/>
          </w:tcPr>
          <w:p>
            <w:pPr>
              <w:pStyle w:val="2"/>
              <w:jc w:val="center"/>
              <w:rPr>
                <w:rFonts w:hint="eastAsia"/>
                <w:vertAlign w:val="baseline"/>
                <w:lang w:val="en-US" w:eastAsia="zh-CN"/>
              </w:rPr>
            </w:pPr>
            <w:r>
              <w:rPr>
                <w:rFonts w:hint="eastAsia"/>
                <w:vertAlign w:val="baseline"/>
                <w:lang w:val="en-US" w:eastAsia="zh-CN"/>
              </w:rPr>
              <w:t>单位</w:t>
            </w:r>
          </w:p>
        </w:tc>
        <w:tc>
          <w:tcPr>
            <w:tcW w:w="1420" w:type="dxa"/>
          </w:tcPr>
          <w:p>
            <w:pPr>
              <w:pStyle w:val="2"/>
              <w:jc w:val="center"/>
              <w:rPr>
                <w:rFonts w:hint="eastAsia" w:eastAsiaTheme="minorEastAsia"/>
                <w:vertAlign w:val="baseline"/>
                <w:lang w:val="en-US" w:eastAsia="zh-CN"/>
              </w:rPr>
            </w:pPr>
            <w:r>
              <w:rPr>
                <w:rFonts w:hint="eastAsia"/>
                <w:vertAlign w:val="baseline"/>
                <w:lang w:val="en-US" w:eastAsia="zh-CN"/>
              </w:rPr>
              <w:t>单价（元）</w:t>
            </w:r>
          </w:p>
        </w:tc>
        <w:tc>
          <w:tcPr>
            <w:tcW w:w="1420" w:type="dxa"/>
          </w:tcPr>
          <w:p>
            <w:pPr>
              <w:pStyle w:val="2"/>
              <w:jc w:val="center"/>
              <w:rPr>
                <w:rFonts w:hint="eastAsia" w:eastAsiaTheme="minorEastAsia"/>
                <w:vertAlign w:val="baseline"/>
                <w:lang w:val="en-US" w:eastAsia="zh-CN"/>
              </w:rPr>
            </w:pPr>
            <w:r>
              <w:rPr>
                <w:rFonts w:hint="eastAsia"/>
                <w:vertAlign w:val="baseline"/>
                <w:lang w:val="en-US" w:eastAsia="zh-CN"/>
              </w:rPr>
              <w:t>合计（元）</w:t>
            </w:r>
          </w:p>
        </w:tc>
        <w:tc>
          <w:tcPr>
            <w:tcW w:w="1420" w:type="dxa"/>
          </w:tcPr>
          <w:p>
            <w:pPr>
              <w:pStyle w:val="2"/>
              <w:jc w:val="center"/>
              <w:rPr>
                <w:rFonts w:hint="eastAsia" w:eastAsiaTheme="minorEastAsia"/>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pStyle w:val="2"/>
              <w:jc w:val="center"/>
              <w:rPr>
                <w:rFonts w:hint="eastAsia" w:eastAsiaTheme="minorEastAsia"/>
                <w:vertAlign w:val="baseline"/>
                <w:lang w:val="en-US" w:eastAsia="zh-CN"/>
              </w:rPr>
            </w:pPr>
            <w:r>
              <w:rPr>
                <w:rFonts w:hint="eastAsia"/>
                <w:vertAlign w:val="baseline"/>
                <w:lang w:val="en-US" w:eastAsia="zh-CN"/>
              </w:rPr>
              <w:t>运动服</w:t>
            </w:r>
          </w:p>
        </w:tc>
        <w:tc>
          <w:tcPr>
            <w:tcW w:w="1420" w:type="dxa"/>
          </w:tcPr>
          <w:p>
            <w:pPr>
              <w:pStyle w:val="2"/>
              <w:jc w:val="center"/>
              <w:rPr>
                <w:rFonts w:hint="default" w:eastAsiaTheme="minorEastAsia"/>
                <w:vertAlign w:val="baseline"/>
                <w:lang w:val="en-US" w:eastAsia="zh-CN"/>
              </w:rPr>
            </w:pPr>
            <w:r>
              <w:rPr>
                <w:rFonts w:hint="eastAsia"/>
                <w:vertAlign w:val="baseline"/>
                <w:lang w:val="en-US" w:eastAsia="zh-CN"/>
              </w:rPr>
              <w:t>24</w:t>
            </w:r>
          </w:p>
        </w:tc>
        <w:tc>
          <w:tcPr>
            <w:tcW w:w="1420" w:type="dxa"/>
          </w:tcPr>
          <w:p>
            <w:pPr>
              <w:pStyle w:val="2"/>
              <w:jc w:val="center"/>
              <w:rPr>
                <w:rFonts w:hint="eastAsia" w:eastAsiaTheme="minorEastAsia"/>
                <w:vertAlign w:val="baseline"/>
                <w:lang w:val="en-US" w:eastAsia="zh-CN"/>
              </w:rPr>
            </w:pPr>
            <w:r>
              <w:rPr>
                <w:rFonts w:hint="eastAsia"/>
                <w:vertAlign w:val="baseline"/>
                <w:lang w:val="en-US" w:eastAsia="zh-CN"/>
              </w:rPr>
              <w:t>套</w:t>
            </w:r>
          </w:p>
        </w:tc>
        <w:tc>
          <w:tcPr>
            <w:tcW w:w="1420" w:type="dxa"/>
          </w:tcPr>
          <w:p>
            <w:pPr>
              <w:pStyle w:val="2"/>
              <w:jc w:val="center"/>
              <w:rPr>
                <w:rFonts w:hint="default" w:eastAsiaTheme="minorEastAsia"/>
                <w:vertAlign w:val="baseline"/>
                <w:lang w:val="en-US" w:eastAsia="zh-CN"/>
              </w:rPr>
            </w:pPr>
          </w:p>
        </w:tc>
        <w:tc>
          <w:tcPr>
            <w:tcW w:w="1420" w:type="dxa"/>
          </w:tcPr>
          <w:p>
            <w:pPr>
              <w:pStyle w:val="2"/>
              <w:jc w:val="center"/>
              <w:rPr>
                <w:rFonts w:hint="default"/>
                <w:vertAlign w:val="baseline"/>
                <w:lang w:val="en-US"/>
              </w:rPr>
            </w:pPr>
          </w:p>
        </w:tc>
        <w:tc>
          <w:tcPr>
            <w:tcW w:w="1420" w:type="dxa"/>
          </w:tcPr>
          <w:p>
            <w:pPr>
              <w:pStyle w:val="2"/>
              <w:jc w:val="center"/>
              <w:rPr>
                <w:rFonts w:hint="default"/>
                <w:vertAlign w:val="baseline"/>
                <w:lang w:val="en-US"/>
              </w:rPr>
            </w:pPr>
          </w:p>
        </w:tc>
      </w:tr>
    </w:tbl>
    <w:p>
      <w:pPr>
        <w:pStyle w:val="2"/>
        <w:rPr>
          <w:rFonts w:hint="default"/>
          <w:lang w:val="en-US"/>
        </w:rPr>
      </w:pPr>
    </w:p>
    <w:p>
      <w:pPr>
        <w:pStyle w:val="2"/>
        <w:rPr>
          <w:rFonts w:hint="eastAsia"/>
          <w:sz w:val="24"/>
        </w:rPr>
      </w:pPr>
    </w:p>
    <w:p>
      <w:pPr>
        <w:rPr>
          <w:rFonts w:hint="eastAsia"/>
        </w:rPr>
      </w:pPr>
    </w:p>
    <w:p>
      <w:pPr>
        <w:rPr>
          <w:sz w:val="24"/>
        </w:rPr>
      </w:pPr>
      <w:r>
        <w:rPr>
          <w:rFonts w:hint="eastAsia"/>
          <w:b/>
          <w:bCs/>
          <w:sz w:val="24"/>
        </w:rPr>
        <w:t>注：</w:t>
      </w:r>
      <w:r>
        <w:rPr>
          <w:rFonts w:hint="eastAsia"/>
          <w:sz w:val="24"/>
        </w:rPr>
        <w:t>报价为含税开票价格，并为一次性报价，在确保满足参数要求的前提下报价不能超过预算价</w:t>
      </w:r>
      <w:r>
        <w:rPr>
          <w:rFonts w:hint="eastAsia"/>
          <w:vertAlign w:val="baseline"/>
          <w:lang w:val="en-US" w:eastAsia="zh-CN"/>
        </w:rPr>
        <w:t>43200</w:t>
      </w:r>
      <w:r>
        <w:rPr>
          <w:rFonts w:hint="eastAsia"/>
          <w:sz w:val="24"/>
        </w:rPr>
        <w:t>元，否则视为无效报价；所供产品或服务的规格及质量应达到国家标准。</w:t>
      </w:r>
    </w:p>
    <w:p>
      <w:pPr>
        <w:rPr>
          <w:rFonts w:hint="eastAsia"/>
        </w:rPr>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296"/>
    <w:rsid w:val="00080FF1"/>
    <w:rsid w:val="000E2296"/>
    <w:rsid w:val="00132D36"/>
    <w:rsid w:val="00154913"/>
    <w:rsid w:val="00174DD2"/>
    <w:rsid w:val="002270D0"/>
    <w:rsid w:val="00284E65"/>
    <w:rsid w:val="003035A4"/>
    <w:rsid w:val="00345A84"/>
    <w:rsid w:val="00376ACE"/>
    <w:rsid w:val="003D1D60"/>
    <w:rsid w:val="00417E62"/>
    <w:rsid w:val="0050202B"/>
    <w:rsid w:val="005B027F"/>
    <w:rsid w:val="005C271E"/>
    <w:rsid w:val="00654747"/>
    <w:rsid w:val="00667FE8"/>
    <w:rsid w:val="00685D6A"/>
    <w:rsid w:val="007326D8"/>
    <w:rsid w:val="007B3A42"/>
    <w:rsid w:val="007F1FF2"/>
    <w:rsid w:val="00816064"/>
    <w:rsid w:val="00826FCD"/>
    <w:rsid w:val="00836866"/>
    <w:rsid w:val="00897E68"/>
    <w:rsid w:val="009157D7"/>
    <w:rsid w:val="00937951"/>
    <w:rsid w:val="009A5AC1"/>
    <w:rsid w:val="00AF11F7"/>
    <w:rsid w:val="00C65CCE"/>
    <w:rsid w:val="00C82A2D"/>
    <w:rsid w:val="00CA0753"/>
    <w:rsid w:val="00CA3695"/>
    <w:rsid w:val="00CB0427"/>
    <w:rsid w:val="00CD66AE"/>
    <w:rsid w:val="00CE3ED2"/>
    <w:rsid w:val="00D00BFD"/>
    <w:rsid w:val="00D22AFA"/>
    <w:rsid w:val="00D560C1"/>
    <w:rsid w:val="00D934AA"/>
    <w:rsid w:val="00DC08B6"/>
    <w:rsid w:val="00DD5223"/>
    <w:rsid w:val="00E07930"/>
    <w:rsid w:val="00E41ABA"/>
    <w:rsid w:val="00EB338B"/>
    <w:rsid w:val="00ED2683"/>
    <w:rsid w:val="00F128B5"/>
    <w:rsid w:val="00FE1F09"/>
    <w:rsid w:val="015D0D5E"/>
    <w:rsid w:val="07374FD3"/>
    <w:rsid w:val="0A506617"/>
    <w:rsid w:val="0B474C35"/>
    <w:rsid w:val="0CE07EEE"/>
    <w:rsid w:val="0E343DD7"/>
    <w:rsid w:val="0FF270DF"/>
    <w:rsid w:val="10CC45F3"/>
    <w:rsid w:val="11371AF9"/>
    <w:rsid w:val="125B2450"/>
    <w:rsid w:val="15E95AF4"/>
    <w:rsid w:val="17A052F5"/>
    <w:rsid w:val="1827390C"/>
    <w:rsid w:val="1AE439AB"/>
    <w:rsid w:val="1C0826EE"/>
    <w:rsid w:val="1C627B3C"/>
    <w:rsid w:val="207C3118"/>
    <w:rsid w:val="226C0AEB"/>
    <w:rsid w:val="24B92A3B"/>
    <w:rsid w:val="2F994FB1"/>
    <w:rsid w:val="300630DE"/>
    <w:rsid w:val="30F15832"/>
    <w:rsid w:val="34666601"/>
    <w:rsid w:val="35067E8C"/>
    <w:rsid w:val="380E7E19"/>
    <w:rsid w:val="387A20DC"/>
    <w:rsid w:val="3D93056F"/>
    <w:rsid w:val="40091EA7"/>
    <w:rsid w:val="47994CF7"/>
    <w:rsid w:val="4853032C"/>
    <w:rsid w:val="495E75BC"/>
    <w:rsid w:val="4AD32147"/>
    <w:rsid w:val="53120B8B"/>
    <w:rsid w:val="53BB1AB3"/>
    <w:rsid w:val="547A1F3D"/>
    <w:rsid w:val="59AA594B"/>
    <w:rsid w:val="5BA745D3"/>
    <w:rsid w:val="5D356CA4"/>
    <w:rsid w:val="5F465EA7"/>
    <w:rsid w:val="606C40E9"/>
    <w:rsid w:val="60E23719"/>
    <w:rsid w:val="64E0525B"/>
    <w:rsid w:val="6C8E084A"/>
    <w:rsid w:val="6C976BFC"/>
    <w:rsid w:val="6E491F5E"/>
    <w:rsid w:val="714F4FDF"/>
    <w:rsid w:val="72E41AEF"/>
    <w:rsid w:val="74FA1C23"/>
    <w:rsid w:val="75266EA8"/>
    <w:rsid w:val="756F11E1"/>
    <w:rsid w:val="76EF1C7B"/>
    <w:rsid w:val="7786531E"/>
    <w:rsid w:val="7BD5312E"/>
    <w:rsid w:val="7EB86940"/>
    <w:rsid w:val="7F8A4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Date"/>
    <w:basedOn w:val="1"/>
    <w:next w:val="1"/>
    <w:link w:val="12"/>
    <w:semiHidden/>
    <w:unhideWhenUsed/>
    <w:qFormat/>
    <w:uiPriority w:val="99"/>
    <w:pPr>
      <w:ind w:left="100" w:leftChars="2500"/>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20"/>
    <w:rPr>
      <w:i/>
      <w:iCs/>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paragraph" w:styleId="11">
    <w:name w:val="List Paragraph"/>
    <w:basedOn w:val="1"/>
    <w:qFormat/>
    <w:uiPriority w:val="34"/>
    <w:pPr>
      <w:ind w:firstLine="420" w:firstLineChars="200"/>
    </w:pPr>
  </w:style>
  <w:style w:type="character" w:customStyle="1" w:styleId="12">
    <w:name w:val="日期 字符"/>
    <w:basedOn w:val="8"/>
    <w:link w:val="3"/>
    <w:semiHidden/>
    <w:qFormat/>
    <w:uiPriority w:val="99"/>
  </w:style>
  <w:style w:type="character" w:customStyle="1" w:styleId="13">
    <w:name w:val="页眉 字符"/>
    <w:basedOn w:val="8"/>
    <w:link w:val="5"/>
    <w:qFormat/>
    <w:uiPriority w:val="99"/>
    <w:rPr>
      <w:rFonts w:asciiTheme="minorHAnsi" w:hAnsiTheme="minorHAnsi" w:eastAsiaTheme="minorEastAsia" w:cstheme="minorBidi"/>
      <w:kern w:val="2"/>
      <w:sz w:val="18"/>
      <w:szCs w:val="18"/>
    </w:rPr>
  </w:style>
  <w:style w:type="character" w:customStyle="1" w:styleId="14">
    <w:name w:val="页脚 字符"/>
    <w:basedOn w:val="8"/>
    <w:link w:val="4"/>
    <w:qFormat/>
    <w:uiPriority w:val="99"/>
    <w:rPr>
      <w:rFonts w:asciiTheme="minorHAnsi" w:hAnsiTheme="minorHAnsi" w:eastAsiaTheme="minorEastAsia" w:cstheme="minorBidi"/>
      <w:kern w:val="2"/>
      <w:sz w:val="18"/>
      <w:szCs w:val="18"/>
    </w:rPr>
  </w:style>
  <w:style w:type="character" w:customStyle="1" w:styleId="15">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117</Words>
  <Characters>669</Characters>
  <Lines>5</Lines>
  <Paragraphs>1</Paragraphs>
  <TotalTime>22</TotalTime>
  <ScaleCrop>false</ScaleCrop>
  <LinksUpToDate>false</LinksUpToDate>
  <CharactersWithSpaces>785</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2020-05-29T06:30:00Z</dcterms:created>
  <dc:creator>13980481790@163.com</dc:creator>
  <cp:lastModifiedBy>Administrator</cp:lastModifiedBy>
  <cp:lastPrinted>2023-10-31T01:58:00Z</cp:lastPrinted>
  <dcterms:modified xsi:type="dcterms:W3CDTF">2024-11-19T05:22:08Z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F1B0BAE8A296490DB313759C68FDF0A7</vt:lpwstr>
  </property>
</Properties>
</file>