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水墨工作坊参赛展厅设计制作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采购招标公告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各供应商：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我校“没之韵——水墨工作坊”即将参加四川省第三届青少年书画传习工坊现场展示活动。为确保本次展示活动顺利进行，更好地展示出本校美术工作坊建设成果并在活动中取得好成绩</w:t>
      </w:r>
      <w:r>
        <w:rPr>
          <w:rFonts w:hint="eastAsia"/>
          <w:sz w:val="24"/>
          <w:szCs w:val="24"/>
        </w:rPr>
        <w:t>现拟通过比选</w:t>
      </w:r>
      <w:r>
        <w:rPr>
          <w:rFonts w:hint="eastAsia"/>
          <w:sz w:val="24"/>
          <w:szCs w:val="24"/>
          <w:lang w:eastAsia="zh-CN"/>
        </w:rPr>
        <w:t>方式采购一家单位对我校参赛展厅进行设计制作。</w:t>
      </w:r>
      <w:r>
        <w:rPr>
          <w:rFonts w:hint="eastAsia"/>
          <w:sz w:val="24"/>
          <w:szCs w:val="24"/>
        </w:rPr>
        <w:t>欢迎符合要求的单位予以投标，并请于</w:t>
      </w:r>
      <w:r>
        <w:rPr>
          <w:rFonts w:hint="eastAsia"/>
          <w:color w:val="FF0000"/>
          <w:sz w:val="24"/>
          <w:szCs w:val="24"/>
        </w:rPr>
        <w:t>202</w:t>
      </w:r>
      <w:r>
        <w:rPr>
          <w:rFonts w:hint="eastAsia"/>
          <w:color w:val="FF0000"/>
          <w:sz w:val="24"/>
          <w:szCs w:val="24"/>
          <w:lang w:val="en-US" w:eastAsia="zh-CN"/>
        </w:rPr>
        <w:t>4</w:t>
      </w:r>
      <w:r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>7</w:t>
      </w:r>
      <w:r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  <w:lang w:val="en-US" w:eastAsia="zh-CN"/>
        </w:rPr>
        <w:t>26</w:t>
      </w:r>
      <w:r>
        <w:rPr>
          <w:rFonts w:hint="eastAsia"/>
          <w:color w:val="FF0000"/>
          <w:sz w:val="24"/>
          <w:szCs w:val="24"/>
        </w:rPr>
        <w:t>日</w:t>
      </w:r>
      <w:r>
        <w:rPr>
          <w:rFonts w:hint="eastAsia"/>
          <w:color w:val="FF0000"/>
          <w:sz w:val="24"/>
          <w:szCs w:val="24"/>
          <w:lang w:val="en-US" w:eastAsia="zh-CN"/>
        </w:rPr>
        <w:t>14</w:t>
      </w:r>
      <w:r>
        <w:rPr>
          <w:rFonts w:hint="eastAsia"/>
          <w:color w:val="FF0000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一、项目总预算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91442元，项目清单见附件（一）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二、活动时间：8月18-24日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三、活动地点：江油市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1"/>
        </w:num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8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14"/>
        <w:gridCol w:w="836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格式自拟。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设计制作方案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格式自拟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三、联系方式：</w:t>
      </w:r>
    </w:p>
    <w:p>
      <w:pPr>
        <w:spacing w:line="360" w:lineRule="auto"/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 202</w:t>
      </w:r>
      <w:r>
        <w:rPr>
          <w:rFonts w:hint="eastAsia"/>
          <w:color w:val="auto"/>
          <w:sz w:val="22"/>
          <w:szCs w:val="22"/>
          <w:lang w:val="en-US" w:eastAsia="zh-CN"/>
        </w:rPr>
        <w:t>4</w:t>
      </w:r>
      <w:r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auto"/>
          <w:sz w:val="22"/>
          <w:szCs w:val="22"/>
          <w:lang w:val="en-US" w:eastAsia="zh-CN"/>
        </w:rPr>
        <w:t>7</w:t>
      </w:r>
      <w:r>
        <w:rPr>
          <w:rFonts w:hint="eastAsia"/>
          <w:color w:val="auto"/>
          <w:sz w:val="22"/>
          <w:szCs w:val="22"/>
        </w:rPr>
        <w:t>月</w:t>
      </w:r>
      <w:r>
        <w:rPr>
          <w:rFonts w:hint="eastAsia"/>
          <w:color w:val="auto"/>
          <w:sz w:val="22"/>
          <w:szCs w:val="22"/>
          <w:lang w:val="en-US" w:eastAsia="zh-CN"/>
        </w:rPr>
        <w:t>21</w:t>
      </w:r>
      <w:r>
        <w:rPr>
          <w:rFonts w:hint="eastAsia"/>
          <w:color w:val="auto"/>
          <w:sz w:val="22"/>
          <w:szCs w:val="22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附件一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（一）工作坊设计与制作</w:t>
      </w:r>
    </w:p>
    <w:tbl>
      <w:tblPr>
        <w:tblStyle w:val="9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93"/>
        <w:gridCol w:w="1369"/>
        <w:gridCol w:w="2070"/>
        <w:gridCol w:w="855"/>
        <w:gridCol w:w="781"/>
        <w:gridCol w:w="85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项目示意图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材质工艺，施工要求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墙体搭建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840740" cy="435610"/>
                  <wp:effectExtent l="0" t="0" r="16510" b="254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1.按实际面积或工程量计算；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2.环保石膏板,专供U75轻钢龙骨骨架；9.5mm石膏板罩面，防火板，自攻螺丝固定，钉帽做防锈处理；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3.纯木欧木板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桌子造型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909320" cy="621030"/>
                  <wp:effectExtent l="0" t="0" r="5080" b="762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1.按实际面积或工程量计算；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2.环保石膏板，U75轻钢龙骨骨架；单层9.5mm纸面石膏板罩面，防火板做造型，木龙骨加固，自攻螺丝固定，钉帽做防锈处理；表面做环保腻子乳胶漆处理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3.纯木欧木板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顶棚设计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919480" cy="382905"/>
                  <wp:effectExtent l="0" t="0" r="13970" b="1714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1.刺绣绢布打底，精印定制图案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2.竹艺边框定型，透明尼龙绳吊装固定。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艺术地胶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915035" cy="791845"/>
                  <wp:effectExtent l="0" t="0" r="18415" b="8255"/>
                  <wp:docPr id="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按实际面积或工程量计算；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2.艺术地胶 ,含人工、辅料及机具损耗，工程量按实际辅设面积计算；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3.耐磨，质感细腻。哑光色，彰显周边字画效果。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 地台 展架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898525" cy="353060"/>
                  <wp:effectExtent l="0" t="0" r="15875" b="889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1.按实际面积或工程量计算；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2.环保石膏板，单层9.5mm纸面石膏板罩面，防火板做造型，木龙骨加固，自攻螺丝固定，钉帽做防锈处理；表面做环保腻子乳胶漆处理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环保艺术涂料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897890" cy="424180"/>
                  <wp:effectExtent l="0" t="0" r="16510" b="1397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1.按实际面积或工程量计算按实际展开面积或工程量计算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2.墙漆颜色超过2种（含白色），每增加一种颜色增加调色费200元。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字体制作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936625" cy="500380"/>
                  <wp:effectExtent l="0" t="0" r="15875" b="13970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专业设计制作.造型设计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墙面广告体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927735" cy="508000"/>
                  <wp:effectExtent l="0" t="0" r="5715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7735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专业设计制作.造型设计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919480" cy="599440"/>
                  <wp:effectExtent l="0" t="0" r="13970" b="1016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专业设计制作.造型设计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项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人物雕刻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838200" cy="486410"/>
                  <wp:effectExtent l="0" t="0" r="0" b="889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专业设计制作.造型设计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假山制作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720090" cy="413385"/>
                  <wp:effectExtent l="0" t="0" r="3810" b="5715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水墨画造型设计，特质材质定制，人工安装。胶水辅材及直钉固定。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轨道射灯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114300" distR="114300">
                  <wp:extent cx="636905" cy="363220"/>
                  <wp:effectExtent l="0" t="0" r="10795" b="1778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选用顶级灯光COB 显色95以上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  <w:tc>
          <w:tcPr>
            <w:tcW w:w="70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捌万贰仟叁佰柒拾柒元整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82377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（二）物品预算</w:t>
      </w:r>
    </w:p>
    <w:tbl>
      <w:tblPr>
        <w:tblStyle w:val="9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30"/>
        <w:gridCol w:w="2400"/>
        <w:gridCol w:w="885"/>
        <w:gridCol w:w="750"/>
        <w:gridCol w:w="135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 格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位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量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142mm*200mm，A5规格，封面水墨画工艺设计定制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水晶镇尺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20*5*2cm，水晶材质，黑色绒布，定制工艺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半球体镇尺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直径约8cm，高度约3.6cm，图案定制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腰枕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30mm*50mm水墨画设计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长方形帆布袋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40*35cm，定制16A纯棉加厚帆布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水桶型帆布袋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20*16cm，定制加厚绒布，内衬亚麻布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钥匙扣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6cm,定制带钢丝圈和铃铛，含背卡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桌布茶艺布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350mm*32mm旗麻布桌布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印章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14号字体，2cm和1cm定制刻字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珍品朱砂印尼15克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印泥画章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书法书画专用印泥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卡台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亚克力强磁材质，内页工艺设计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文创盒子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235mm*80mm学校logo设计加印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宣纸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28cm画芯空白半生熟宣纸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5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玖仟零陆拾伍元整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9065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水墨工作坊参赛展厅设计制作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  <w:u w:val="singl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 xml:space="preserve">      年    月    日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价（附件一合计）：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元（大写            ）  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并为一次性报价，在确保满足参数要求的前提下</w:t>
      </w:r>
      <w:r>
        <w:rPr>
          <w:rFonts w:hint="eastAsia"/>
          <w:sz w:val="24"/>
          <w:lang w:eastAsia="zh-CN"/>
        </w:rPr>
        <w:t>各分项</w:t>
      </w:r>
      <w:r>
        <w:rPr>
          <w:rFonts w:hint="eastAsia"/>
          <w:sz w:val="24"/>
        </w:rPr>
        <w:t>报价不能超过</w:t>
      </w:r>
      <w:r>
        <w:rPr>
          <w:rFonts w:hint="eastAsia"/>
          <w:sz w:val="24"/>
          <w:lang w:eastAsia="zh-CN"/>
        </w:rPr>
        <w:t>预算，总</w:t>
      </w:r>
      <w:r>
        <w:rPr>
          <w:rFonts w:hint="eastAsia"/>
          <w:sz w:val="24"/>
        </w:rPr>
        <w:t>价</w:t>
      </w:r>
      <w:r>
        <w:rPr>
          <w:rFonts w:hint="eastAsia"/>
          <w:sz w:val="24"/>
          <w:lang w:eastAsia="zh-CN"/>
        </w:rPr>
        <w:t>不超</w:t>
      </w:r>
      <w:r>
        <w:rPr>
          <w:rFonts w:hint="eastAsia"/>
          <w:sz w:val="24"/>
          <w:szCs w:val="24"/>
          <w:lang w:val="en-US" w:eastAsia="zh-CN"/>
        </w:rPr>
        <w:t>91442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 w:ascii="宋体" w:hAnsi="宋体" w:eastAsia="宋体" w:cs="宋体"/>
          <w:b/>
          <w:bCs/>
          <w:szCs w:val="21"/>
        </w:rPr>
        <w:t>①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设计制作方案</w:t>
      </w:r>
      <w:r>
        <w:rPr>
          <w:rFonts w:hint="eastAsia" w:ascii="宋体" w:hAnsi="宋体" w:eastAsia="宋体" w:cs="宋体"/>
          <w:b/>
          <w:bCs/>
          <w:szCs w:val="21"/>
        </w:rPr>
        <w:t>；②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人员安排</w:t>
      </w:r>
      <w:r>
        <w:rPr>
          <w:rFonts w:hint="eastAsia" w:ascii="宋体" w:hAnsi="宋体" w:eastAsia="宋体" w:cs="宋体"/>
          <w:b/>
          <w:bCs/>
          <w:szCs w:val="21"/>
        </w:rPr>
        <w:t>；③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szCs w:val="21"/>
        </w:rPr>
        <w:t>；④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应急方案</w:t>
      </w:r>
      <w:r>
        <w:rPr>
          <w:rFonts w:hint="eastAsia" w:ascii="宋体" w:hAnsi="宋体" w:eastAsia="宋体" w:cs="宋体"/>
          <w:b/>
          <w:bCs/>
          <w:szCs w:val="21"/>
        </w:rPr>
        <w:t>，</w:t>
      </w:r>
      <w:r>
        <w:rPr>
          <w:rFonts w:hint="eastAsia"/>
          <w:sz w:val="28"/>
          <w:szCs w:val="28"/>
        </w:rPr>
        <w:t>等方面拟定）。</w:t>
      </w:r>
    </w:p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楷体_GB2312" w:hAnsi="楷体_GB2312" w:eastAsia="楷体_GB2312" w:cs="楷体_GB2312"/>
        <w:sz w:val="20"/>
        <w:szCs w:val="24"/>
      </w:rPr>
      <w:drawing>
        <wp:inline distT="0" distB="0" distL="114300" distR="114300">
          <wp:extent cx="626110" cy="395605"/>
          <wp:effectExtent l="0" t="0" r="2540" b="4445"/>
          <wp:docPr id="3" name="图片 1" descr="新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56DD2"/>
    <w:multiLevelType w:val="singleLevel"/>
    <w:tmpl w:val="43056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0D1AF1"/>
    <w:rsid w:val="01590630"/>
    <w:rsid w:val="059D09F2"/>
    <w:rsid w:val="0814242D"/>
    <w:rsid w:val="09673239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7553BA5"/>
    <w:rsid w:val="1961157A"/>
    <w:rsid w:val="199E6FF5"/>
    <w:rsid w:val="1ABD5105"/>
    <w:rsid w:val="1B5B60D7"/>
    <w:rsid w:val="1BC028B8"/>
    <w:rsid w:val="1E4673C7"/>
    <w:rsid w:val="1EE3413B"/>
    <w:rsid w:val="21162D53"/>
    <w:rsid w:val="242D7763"/>
    <w:rsid w:val="29ED4990"/>
    <w:rsid w:val="2DAD45B2"/>
    <w:rsid w:val="318F3BCB"/>
    <w:rsid w:val="3679288A"/>
    <w:rsid w:val="374817BC"/>
    <w:rsid w:val="37673F3D"/>
    <w:rsid w:val="38545D1F"/>
    <w:rsid w:val="3AE63954"/>
    <w:rsid w:val="3B7774BB"/>
    <w:rsid w:val="3D4E7CEB"/>
    <w:rsid w:val="3DC178FB"/>
    <w:rsid w:val="3DEF2ED4"/>
    <w:rsid w:val="40953743"/>
    <w:rsid w:val="41DE677A"/>
    <w:rsid w:val="41F94AED"/>
    <w:rsid w:val="420C7940"/>
    <w:rsid w:val="43A166C0"/>
    <w:rsid w:val="453E313B"/>
    <w:rsid w:val="48042298"/>
    <w:rsid w:val="48144482"/>
    <w:rsid w:val="48356E5A"/>
    <w:rsid w:val="4A457B43"/>
    <w:rsid w:val="4BE063DB"/>
    <w:rsid w:val="4C3C3B81"/>
    <w:rsid w:val="4CC07861"/>
    <w:rsid w:val="4D73213F"/>
    <w:rsid w:val="4DA27F62"/>
    <w:rsid w:val="4DC01311"/>
    <w:rsid w:val="4EC428AA"/>
    <w:rsid w:val="5A297BD9"/>
    <w:rsid w:val="5A82704A"/>
    <w:rsid w:val="5B1879D4"/>
    <w:rsid w:val="5B662CAF"/>
    <w:rsid w:val="5BC0518B"/>
    <w:rsid w:val="5DE97726"/>
    <w:rsid w:val="5E7469EA"/>
    <w:rsid w:val="5F4715BF"/>
    <w:rsid w:val="60587A04"/>
    <w:rsid w:val="62812BF2"/>
    <w:rsid w:val="629E6A2C"/>
    <w:rsid w:val="62B35FCC"/>
    <w:rsid w:val="672A1E6E"/>
    <w:rsid w:val="6D507677"/>
    <w:rsid w:val="6D67542E"/>
    <w:rsid w:val="6EBD6337"/>
    <w:rsid w:val="6F9A249A"/>
    <w:rsid w:val="6FA80BDC"/>
    <w:rsid w:val="70CE451E"/>
    <w:rsid w:val="723B4B0D"/>
    <w:rsid w:val="73A57AB3"/>
    <w:rsid w:val="75AF7A41"/>
    <w:rsid w:val="75F41B61"/>
    <w:rsid w:val="764E71B3"/>
    <w:rsid w:val="772F5642"/>
    <w:rsid w:val="781B4C84"/>
    <w:rsid w:val="785A0091"/>
    <w:rsid w:val="79DC1BF2"/>
    <w:rsid w:val="7B1D4F00"/>
    <w:rsid w:val="7C4D7329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10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叶</cp:lastModifiedBy>
  <cp:lastPrinted>2024-06-28T02:33:00Z</cp:lastPrinted>
  <dcterms:modified xsi:type="dcterms:W3CDTF">2025-01-10T08:12:40Z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57B10FF30AC14B819184B1EBC8CB1DBF</vt:lpwstr>
  </property>
</Properties>
</file>