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40"/>
        </w:rPr>
      </w:pPr>
      <w:r>
        <w:rPr>
          <w:rFonts w:hint="eastAsia"/>
          <w:b/>
          <w:bCs/>
          <w:sz w:val="32"/>
          <w:szCs w:val="40"/>
        </w:rPr>
        <w:t>成都市泡桐树小学（天府校区）</w:t>
      </w:r>
    </w:p>
    <w:p>
      <w:pPr>
        <w:spacing w:line="360" w:lineRule="auto"/>
        <w:jc w:val="center"/>
        <w:rPr>
          <w:rFonts w:hint="eastAsia"/>
          <w:sz w:val="32"/>
          <w:szCs w:val="40"/>
        </w:rPr>
      </w:pPr>
      <w:r>
        <w:rPr>
          <w:rFonts w:hint="eastAsia"/>
          <w:b/>
          <w:bCs/>
          <w:sz w:val="32"/>
          <w:szCs w:val="40"/>
          <w:lang w:val="en-US" w:eastAsia="zh-CN"/>
        </w:rPr>
        <w:t>航空航天课程器材</w:t>
      </w:r>
      <w:r>
        <w:rPr>
          <w:rFonts w:hint="eastAsia"/>
          <w:b/>
          <w:bCs/>
          <w:sz w:val="32"/>
          <w:szCs w:val="40"/>
          <w:lang w:eastAsia="zh-CN"/>
        </w:rPr>
        <w:t>采购招</w:t>
      </w:r>
      <w:r>
        <w:rPr>
          <w:rFonts w:hint="eastAsia"/>
          <w:b/>
          <w:bCs/>
          <w:sz w:val="32"/>
          <w:szCs w:val="40"/>
        </w:rPr>
        <w:t>标公告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rPr>
        <w:t>各</w:t>
      </w:r>
      <w:r>
        <w:rPr>
          <w:rFonts w:hint="eastAsia"/>
          <w:sz w:val="24"/>
          <w:szCs w:val="24"/>
          <w:lang w:eastAsia="zh-CN"/>
        </w:rPr>
        <w:t>供应商</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rFonts w:hint="eastAsia"/>
          <w:sz w:val="24"/>
          <w:szCs w:val="24"/>
          <w:lang w:val="en-US" w:eastAsia="zh-CN"/>
        </w:rPr>
        <w:t xml:space="preserve">    </w:t>
      </w:r>
      <w:r>
        <w:rPr>
          <w:rFonts w:hint="eastAsia"/>
          <w:sz w:val="24"/>
          <w:szCs w:val="24"/>
        </w:rPr>
        <w:t>我校现拟通过比选采购</w:t>
      </w:r>
      <w:r>
        <w:rPr>
          <w:rFonts w:hint="eastAsia" w:ascii="宋体" w:hAnsi="宋体" w:eastAsia="宋体" w:cs="宋体"/>
          <w:b w:val="0"/>
          <w:sz w:val="24"/>
          <w:szCs w:val="24"/>
          <w:lang w:val="en-US" w:eastAsia="zh-CN" w:bidi="ar-SA"/>
        </w:rPr>
        <w:t>一</w:t>
      </w:r>
      <w:r>
        <w:rPr>
          <w:rFonts w:hint="eastAsia"/>
          <w:sz w:val="24"/>
          <w:szCs w:val="24"/>
          <w:lang w:val="en-US" w:eastAsia="zh-CN"/>
        </w:rPr>
        <w:t>批航空航天课程、器材。欢迎</w:t>
      </w:r>
      <w:r>
        <w:rPr>
          <w:rFonts w:hint="eastAsia"/>
          <w:sz w:val="24"/>
          <w:szCs w:val="24"/>
        </w:rPr>
        <w:t>符合要求的单位予以投标，并请</w:t>
      </w:r>
      <w:r>
        <w:rPr>
          <w:rFonts w:hint="eastAsia"/>
          <w:color w:val="auto"/>
          <w:sz w:val="24"/>
          <w:szCs w:val="24"/>
        </w:rPr>
        <w:t>于202</w:t>
      </w:r>
      <w:r>
        <w:rPr>
          <w:rFonts w:hint="eastAsia"/>
          <w:color w:val="auto"/>
          <w:sz w:val="24"/>
          <w:szCs w:val="24"/>
          <w:lang w:val="en-US" w:eastAsia="zh-CN"/>
        </w:rPr>
        <w:t>5</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18</w:t>
      </w:r>
      <w:r>
        <w:rPr>
          <w:rFonts w:hint="eastAsia"/>
          <w:color w:val="auto"/>
          <w:sz w:val="24"/>
          <w:szCs w:val="24"/>
        </w:rPr>
        <w:t>日1</w:t>
      </w:r>
      <w:r>
        <w:rPr>
          <w:rFonts w:hint="eastAsia"/>
          <w:color w:val="auto"/>
          <w:sz w:val="24"/>
          <w:szCs w:val="24"/>
          <w:lang w:val="en-US" w:eastAsia="zh-CN"/>
        </w:rPr>
        <w:t>2</w:t>
      </w:r>
      <w:r>
        <w:rPr>
          <w:rFonts w:hint="eastAsia"/>
          <w:color w:val="auto"/>
          <w:sz w:val="24"/>
          <w:szCs w:val="24"/>
        </w:rPr>
        <w:t>:00</w:t>
      </w:r>
      <w:r>
        <w:rPr>
          <w:rFonts w:hint="eastAsia"/>
          <w:sz w:val="24"/>
          <w:szCs w:val="24"/>
        </w:rPr>
        <w:t>点前将比选响应文件送至我校服务中心。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textAlignment w:val="auto"/>
        <w:rPr>
          <w:sz w:val="24"/>
          <w:szCs w:val="24"/>
        </w:rPr>
      </w:pPr>
      <w:r>
        <w:rPr>
          <w:rFonts w:hint="eastAsia"/>
          <w:b/>
          <w:bCs/>
          <w:sz w:val="24"/>
          <w:szCs w:val="24"/>
        </w:rPr>
        <w:t>项目情况</w:t>
      </w:r>
      <w:r>
        <w:rPr>
          <w:rFonts w:hint="eastAsia"/>
          <w:sz w:val="24"/>
          <w:szCs w:val="24"/>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00" w:lineRule="exact"/>
        <w:ind w:left="630" w:leftChars="0" w:firstLine="0" w:firstLineChars="0"/>
        <w:textAlignment w:val="auto"/>
        <w:rPr>
          <w:rFonts w:hint="eastAsia"/>
          <w:sz w:val="24"/>
          <w:szCs w:val="24"/>
          <w:lang w:val="en-US" w:eastAsia="zh-CN"/>
        </w:rPr>
      </w:pPr>
      <w:r>
        <w:rPr>
          <w:rFonts w:hint="eastAsia"/>
          <w:sz w:val="24"/>
          <w:szCs w:val="24"/>
          <w:lang w:val="en-US" w:eastAsia="zh-CN"/>
        </w:rPr>
        <w:t>课程目</w:t>
      </w:r>
      <w:r>
        <w:rPr>
          <w:rFonts w:hint="eastAsia" w:asciiTheme="minorHAnsi" w:hAnsiTheme="minorHAnsi" w:eastAsiaTheme="minorEastAsia" w:cstheme="minorBidi"/>
          <w:kern w:val="2"/>
          <w:sz w:val="24"/>
          <w:szCs w:val="24"/>
          <w:lang w:val="en-US" w:eastAsia="zh-CN" w:bidi="ar-SA"/>
        </w:rPr>
        <w:t>的：课程采用“像科学家一样思考、像工程师一样创造”的实践模式‌</w:t>
      </w:r>
      <w:r>
        <w:rPr>
          <w:rFonts w:hint="default"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以</w:t>
      </w:r>
      <w:r>
        <w:rPr>
          <w:rFonts w:hint="default" w:asciiTheme="minorHAnsi" w:hAnsiTheme="minorHAnsi" w:eastAsiaTheme="minorEastAsia" w:cstheme="minorBidi"/>
          <w:kern w:val="2"/>
          <w:sz w:val="24"/>
          <w:szCs w:val="24"/>
          <w:lang w:val="en-US" w:eastAsia="zh-CN" w:bidi="ar-SA"/>
        </w:rPr>
        <w:t>模拟警探破案、航天器制作、机器人编程等情境化任务，引导学生通过观察、设计、制作、验证等环节深化知识应用。</w:t>
      </w:r>
      <w:r>
        <w:rPr>
          <w:rFonts w:hint="eastAsia" w:asciiTheme="minorHAnsi" w:hAnsiTheme="minorHAnsi" w:eastAsiaTheme="minorEastAsia" w:cstheme="minorBidi"/>
          <w:kern w:val="2"/>
          <w:sz w:val="24"/>
          <w:szCs w:val="24"/>
          <w:lang w:val="en-US" w:eastAsia="zh-CN" w:bidi="ar-SA"/>
        </w:rPr>
        <w:t>进一步丰富学生的科创课程，深化学校的科创教育，同时为区域及我校学生提供更多展现才华和自身科学素质的空间与平台。</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00" w:lineRule="exact"/>
        <w:ind w:left="630" w:leftChars="0" w:firstLine="0" w:firstLineChars="0"/>
        <w:textAlignment w:val="auto"/>
        <w:rPr>
          <w:rFonts w:hint="eastAsia"/>
          <w:sz w:val="24"/>
          <w:szCs w:val="24"/>
          <w:lang w:val="en-US" w:eastAsia="zh-CN"/>
        </w:rPr>
      </w:pPr>
      <w:r>
        <w:rPr>
          <w:rFonts w:hint="eastAsia"/>
          <w:sz w:val="24"/>
          <w:szCs w:val="24"/>
          <w:lang w:val="en-US" w:eastAsia="zh-CN"/>
        </w:rPr>
        <w:t>课程预算及来源：86024元，财政资金；</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00" w:lineRule="exact"/>
        <w:ind w:left="630" w:leftChars="0" w:firstLine="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采购清单：</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629" w:leftChars="0" w:firstLine="420" w:firstLineChars="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星球探索实践套装（初级）13套</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629" w:leftChars="0" w:firstLine="42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星球探索实践赛事扩展包13套</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629" w:leftChars="0" w:firstLine="42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课程平台-星球探索实践套装（初级）课程资源包</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629" w:leftChars="0" w:firstLine="42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星球探索实践赛事课程资源包-小学</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629" w:leftChars="0" w:firstLine="42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星球车竞技场地模型套装1套；</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00" w:lineRule="exact"/>
        <w:ind w:left="630" w:leftChars="0" w:firstLine="0" w:firstLineChars="0"/>
        <w:textAlignment w:val="auto"/>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参数：见附件一</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textAlignment w:val="auto"/>
        <w:rPr>
          <w:b/>
          <w:bCs/>
          <w:sz w:val="24"/>
          <w:szCs w:val="24"/>
        </w:rPr>
      </w:pPr>
      <w:r>
        <w:rPr>
          <w:rFonts w:hint="eastAsia"/>
          <w:b/>
          <w:bCs/>
          <w:sz w:val="24"/>
          <w:szCs w:val="24"/>
        </w:rPr>
        <w:t>注意事项：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rFonts w:hint="eastAsia"/>
          <w:sz w:val="24"/>
          <w:szCs w:val="24"/>
        </w:rPr>
        <w:t>1.受邀单位须满足《政府采购法》第二十二条相关资质要求。</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rFonts w:hint="eastAsia"/>
          <w:sz w:val="24"/>
          <w:szCs w:val="24"/>
        </w:rPr>
        <w:t>2.比选文件构成：</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rFonts w:hint="eastAsia"/>
          <w:sz w:val="24"/>
          <w:szCs w:val="24"/>
        </w:rPr>
        <w:t>2.1资格审查：投标人需提供下述资料，否则视为无效投标。</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rFonts w:hint="eastAsia"/>
          <w:sz w:val="24"/>
          <w:szCs w:val="24"/>
        </w:rPr>
        <w:t>2.1.1工商营业执照复印件</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rFonts w:hint="eastAsia"/>
          <w:sz w:val="24"/>
          <w:szCs w:val="24"/>
        </w:rPr>
        <w:t>2.1.2法人身份证复印件（若另有经办人，需提供授权书及被授权书的身份证复印件）</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sz w:val="24"/>
          <w:szCs w:val="24"/>
        </w:rPr>
      </w:pPr>
      <w:r>
        <w:rPr>
          <w:rFonts w:hint="eastAsia"/>
          <w:sz w:val="24"/>
          <w:szCs w:val="24"/>
        </w:rPr>
        <w:t>2.1.3企业信用信息页（需含“营业执照信息、股东信息、主要人员信息”等，可在http://www.gsxt.gov.cn/index.html网址查询打印）</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val="en-US" w:eastAsia="zh-CN"/>
        </w:rPr>
      </w:pPr>
      <w:r>
        <w:rPr>
          <w:rFonts w:hint="eastAsia"/>
          <w:sz w:val="24"/>
          <w:szCs w:val="24"/>
          <w:lang w:val="en-US" w:eastAsia="zh-CN"/>
        </w:rPr>
        <w:t xml:space="preserve">   2.1.4报价单（见附件二）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textAlignment w:val="auto"/>
        <w:rPr>
          <w:sz w:val="24"/>
          <w:szCs w:val="24"/>
        </w:rPr>
      </w:pPr>
      <w:r>
        <w:rPr>
          <w:rFonts w:hint="eastAsia"/>
          <w:sz w:val="24"/>
          <w:szCs w:val="24"/>
        </w:rPr>
        <w:t>评分办法</w:t>
      </w:r>
    </w:p>
    <w:tbl>
      <w:tblPr>
        <w:tblStyle w:val="5"/>
        <w:tblpPr w:leftFromText="180" w:rightFromText="180" w:vertAnchor="text" w:horzAnchor="page" w:tblpX="1770" w:tblpY="55"/>
        <w:tblOverlap w:val="never"/>
        <w:tblW w:w="51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157"/>
        <w:gridCol w:w="867"/>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5" w:type="pct"/>
            <w:vAlign w:val="center"/>
          </w:tcPr>
          <w:p>
            <w:pPr>
              <w:ind w:firstLine="28"/>
              <w:jc w:val="center"/>
              <w:rPr>
                <w:rFonts w:ascii="宋体" w:hAnsi="宋体" w:eastAsia="宋体" w:cs="宋体"/>
                <w:sz w:val="24"/>
                <w:szCs w:val="24"/>
              </w:rPr>
            </w:pPr>
            <w:r>
              <w:rPr>
                <w:rFonts w:hint="eastAsia" w:ascii="宋体" w:hAnsi="宋体" w:eastAsia="宋体" w:cs="宋体"/>
                <w:sz w:val="24"/>
                <w:szCs w:val="24"/>
              </w:rPr>
              <w:t>序号</w:t>
            </w:r>
          </w:p>
        </w:tc>
        <w:tc>
          <w:tcPr>
            <w:tcW w:w="654" w:type="pct"/>
            <w:vAlign w:val="center"/>
          </w:tcPr>
          <w:p>
            <w:pPr>
              <w:jc w:val="center"/>
              <w:rPr>
                <w:rFonts w:ascii="宋体" w:hAnsi="宋体" w:eastAsia="宋体" w:cs="宋体"/>
                <w:sz w:val="24"/>
                <w:szCs w:val="24"/>
              </w:rPr>
            </w:pPr>
            <w:r>
              <w:rPr>
                <w:rFonts w:hint="eastAsia" w:ascii="宋体" w:hAnsi="宋体" w:eastAsia="宋体" w:cs="宋体"/>
                <w:sz w:val="24"/>
                <w:szCs w:val="24"/>
              </w:rPr>
              <w:t>评分因素及权重</w:t>
            </w:r>
          </w:p>
        </w:tc>
        <w:tc>
          <w:tcPr>
            <w:tcW w:w="490" w:type="pct"/>
            <w:vAlign w:val="center"/>
          </w:tcPr>
          <w:p>
            <w:pPr>
              <w:ind w:firstLine="28"/>
              <w:jc w:val="center"/>
              <w:rPr>
                <w:rFonts w:ascii="宋体" w:hAnsi="宋体" w:eastAsia="宋体" w:cs="宋体"/>
                <w:sz w:val="24"/>
                <w:szCs w:val="24"/>
              </w:rPr>
            </w:pPr>
            <w:r>
              <w:rPr>
                <w:rFonts w:hint="eastAsia" w:ascii="宋体" w:hAnsi="宋体" w:eastAsia="宋体" w:cs="宋体"/>
                <w:sz w:val="24"/>
                <w:szCs w:val="24"/>
              </w:rPr>
              <w:t>分值</w:t>
            </w:r>
          </w:p>
        </w:tc>
        <w:tc>
          <w:tcPr>
            <w:tcW w:w="3529" w:type="pct"/>
            <w:vAlign w:val="center"/>
          </w:tcPr>
          <w:p>
            <w:pPr>
              <w:ind w:firstLine="28"/>
              <w:jc w:val="center"/>
              <w:rPr>
                <w:rFonts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325" w:type="pct"/>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654" w:type="pct"/>
            <w:vAlign w:val="center"/>
          </w:tcPr>
          <w:p>
            <w:pPr>
              <w:jc w:val="center"/>
              <w:rPr>
                <w:rFonts w:ascii="宋体" w:hAnsi="宋体" w:eastAsia="宋体" w:cs="宋体"/>
                <w:sz w:val="24"/>
                <w:szCs w:val="24"/>
              </w:rPr>
            </w:pPr>
            <w:r>
              <w:rPr>
                <w:rFonts w:hint="eastAsia" w:ascii="宋体" w:hAnsi="宋体" w:eastAsia="宋体" w:cs="宋体"/>
                <w:sz w:val="24"/>
                <w:szCs w:val="24"/>
              </w:rPr>
              <w:t>响应报价7</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490" w:type="pct"/>
            <w:vAlign w:val="center"/>
          </w:tcPr>
          <w:p>
            <w:pPr>
              <w:jc w:val="center"/>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529" w:type="pct"/>
            <w:vAlign w:val="center"/>
          </w:tcPr>
          <w:p>
            <w:pPr>
              <w:keepNext/>
              <w:keepLines/>
              <w:wordWrap w:val="0"/>
              <w:topLinePunct/>
              <w:jc w:val="left"/>
              <w:rPr>
                <w:rFonts w:ascii="宋体" w:hAnsi="宋体" w:eastAsia="宋体" w:cs="宋体"/>
                <w:sz w:val="24"/>
                <w:szCs w:val="24"/>
              </w:rPr>
            </w:pPr>
            <w:r>
              <w:rPr>
                <w:rFonts w:hint="eastAsia" w:ascii="宋体" w:hAnsi="宋体" w:eastAsia="宋体" w:cs="宋体"/>
                <w:sz w:val="24"/>
                <w:szCs w:val="24"/>
              </w:rPr>
              <w:t>满足比选文件要求且响应价格最低的比选报价为评审基准价，其价格分为满分。其他</w:t>
            </w:r>
            <w:r>
              <w:rPr>
                <w:rFonts w:hint="eastAsia" w:ascii="宋体" w:hAnsi="宋体" w:cs="宋体"/>
                <w:sz w:val="24"/>
                <w:szCs w:val="24"/>
              </w:rPr>
              <w:t>比选申请人</w:t>
            </w:r>
            <w:r>
              <w:rPr>
                <w:rFonts w:hint="eastAsia" w:ascii="宋体" w:hAnsi="宋体" w:eastAsia="宋体" w:cs="宋体"/>
                <w:sz w:val="24"/>
                <w:szCs w:val="24"/>
              </w:rPr>
              <w:t>的价格分统一按照下列公式计算：报价得分=(评审基准价／比选报价)*7</w:t>
            </w:r>
            <w:r>
              <w:rPr>
                <w:rFonts w:hint="eastAsia" w:ascii="宋体" w:hAnsi="宋体" w:eastAsia="宋体" w:cs="宋体"/>
                <w:sz w:val="24"/>
                <w:szCs w:val="24"/>
                <w:lang w:val="en-US" w:eastAsia="zh-CN"/>
              </w:rPr>
              <w:t>5</w:t>
            </w:r>
            <w:r>
              <w:rPr>
                <w:rFonts w:hint="eastAsia" w:ascii="宋体" w:hAnsi="宋体" w:eastAsia="宋体" w:cs="宋体"/>
                <w:sz w:val="24"/>
                <w:szCs w:val="24"/>
              </w:rPr>
              <w:t>分。报价单模板见附件</w:t>
            </w:r>
            <w:r>
              <w:rPr>
                <w:rFonts w:hint="eastAsia" w:ascii="宋体" w:hAnsi="宋体" w:eastAsia="宋体" w:cs="宋体"/>
                <w:sz w:val="24"/>
                <w:szCs w:val="24"/>
                <w:lang w:eastAsia="zh-CN"/>
              </w:rPr>
              <w:t>二</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5" w:type="pct"/>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654" w:type="pct"/>
            <w:vAlign w:val="center"/>
          </w:tcPr>
          <w:p>
            <w:pPr>
              <w:jc w:val="center"/>
              <w:rPr>
                <w:rFonts w:ascii="宋体" w:hAnsi="宋体" w:eastAsia="宋体" w:cs="宋体"/>
                <w:sz w:val="24"/>
                <w:szCs w:val="24"/>
              </w:rPr>
            </w:pPr>
            <w:r>
              <w:rPr>
                <w:rFonts w:hint="eastAsia" w:ascii="宋体" w:hAnsi="宋体" w:eastAsia="宋体" w:cs="宋体"/>
                <w:sz w:val="24"/>
                <w:szCs w:val="24"/>
              </w:rPr>
              <w:t>履约能力</w:t>
            </w:r>
            <w:r>
              <w:rPr>
                <w:rFonts w:hint="eastAsia" w:ascii="宋体" w:hAnsi="宋体" w:cs="宋体"/>
                <w:sz w:val="24"/>
                <w:szCs w:val="24"/>
              </w:rPr>
              <w:t>10</w:t>
            </w:r>
            <w:r>
              <w:rPr>
                <w:rFonts w:hint="eastAsia" w:ascii="宋体" w:hAnsi="宋体" w:eastAsia="宋体" w:cs="宋体"/>
                <w:sz w:val="24"/>
                <w:szCs w:val="24"/>
              </w:rPr>
              <w:t>%</w:t>
            </w:r>
          </w:p>
        </w:tc>
        <w:tc>
          <w:tcPr>
            <w:tcW w:w="490" w:type="pct"/>
            <w:vAlign w:val="center"/>
          </w:tcPr>
          <w:p>
            <w:pPr>
              <w:jc w:val="center"/>
              <w:rPr>
                <w:rFonts w:ascii="宋体" w:hAnsi="宋体" w:eastAsia="宋体" w:cs="宋体"/>
                <w:sz w:val="24"/>
                <w:szCs w:val="24"/>
              </w:rPr>
            </w:pPr>
            <w:r>
              <w:rPr>
                <w:rFonts w:hint="eastAsia" w:ascii="宋体" w:hAnsi="宋体" w:eastAsia="宋体" w:cs="宋体"/>
                <w:sz w:val="24"/>
                <w:szCs w:val="24"/>
              </w:rPr>
              <w:t>10分</w:t>
            </w:r>
          </w:p>
        </w:tc>
        <w:tc>
          <w:tcPr>
            <w:tcW w:w="3529" w:type="pct"/>
            <w:vAlign w:val="center"/>
          </w:tcPr>
          <w:p>
            <w:pPr>
              <w:keepNext/>
              <w:keepLines/>
              <w:wordWrap w:val="0"/>
              <w:topLinePunct/>
              <w:jc w:val="left"/>
              <w:rPr>
                <w:rFonts w:ascii="宋体" w:hAnsi="宋体" w:eastAsia="宋体" w:cs="宋体"/>
                <w:sz w:val="24"/>
                <w:szCs w:val="24"/>
              </w:rPr>
            </w:pPr>
            <w:r>
              <w:rPr>
                <w:rFonts w:hint="eastAsia" w:ascii="宋体" w:hAnsi="宋体" w:cs="宋体"/>
                <w:sz w:val="24"/>
                <w:szCs w:val="24"/>
              </w:rPr>
              <w:t>比选申请人</w:t>
            </w:r>
            <w:r>
              <w:rPr>
                <w:rFonts w:hint="eastAsia" w:ascii="宋体" w:hAnsi="宋体" w:eastAsia="宋体" w:cs="宋体"/>
                <w:sz w:val="24"/>
                <w:szCs w:val="24"/>
              </w:rPr>
              <w:t>自</w:t>
            </w:r>
            <w:r>
              <w:rPr>
                <w:rFonts w:hint="eastAsia" w:ascii="宋体" w:hAnsi="宋体" w:eastAsia="宋体" w:cs="宋体"/>
                <w:sz w:val="24"/>
                <w:szCs w:val="24"/>
                <w:lang w:val="en-US" w:eastAsia="zh-CN"/>
              </w:rPr>
              <w:t>2020</w:t>
            </w:r>
            <w:r>
              <w:rPr>
                <w:rFonts w:hint="eastAsia" w:ascii="宋体" w:hAnsi="宋体" w:eastAsia="宋体" w:cs="宋体"/>
                <w:sz w:val="24"/>
                <w:szCs w:val="24"/>
              </w:rPr>
              <w:t>年1月1日（含）以来每有1个类似项目业绩的得5分，最多得</w:t>
            </w:r>
            <w:r>
              <w:rPr>
                <w:rFonts w:hint="eastAsia" w:ascii="宋体" w:hAnsi="宋体" w:cs="宋体"/>
                <w:sz w:val="24"/>
                <w:szCs w:val="24"/>
              </w:rPr>
              <w:t>10</w:t>
            </w:r>
            <w:r>
              <w:rPr>
                <w:rFonts w:hint="eastAsia" w:ascii="宋体" w:hAnsi="宋体" w:eastAsia="宋体" w:cs="宋体"/>
                <w:sz w:val="24"/>
                <w:szCs w:val="24"/>
              </w:rPr>
              <w:t>分。</w:t>
            </w:r>
          </w:p>
          <w:p>
            <w:pPr>
              <w:keepNext/>
              <w:keepLines/>
              <w:wordWrap w:val="0"/>
              <w:topLinePunct/>
              <w:jc w:val="left"/>
              <w:rPr>
                <w:rFonts w:ascii="宋体" w:hAnsi="宋体" w:eastAsia="宋体" w:cs="宋体"/>
                <w:sz w:val="24"/>
                <w:szCs w:val="24"/>
              </w:rPr>
            </w:pPr>
            <w:r>
              <w:rPr>
                <w:rFonts w:hint="eastAsia" w:ascii="宋体" w:hAnsi="宋体" w:eastAsia="宋体" w:cs="宋体"/>
                <w:sz w:val="24"/>
                <w:szCs w:val="24"/>
              </w:rPr>
              <w:t>注：提供中标（成交）通知书复印件或合同复印件并加盖鲜章。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25" w:type="pct"/>
            <w:vAlign w:val="center"/>
          </w:tcPr>
          <w:p>
            <w:pPr>
              <w:ind w:firstLine="28"/>
              <w:jc w:val="center"/>
              <w:rPr>
                <w:rFonts w:ascii="宋体" w:hAnsi="宋体" w:eastAsia="宋体" w:cs="宋体"/>
                <w:sz w:val="24"/>
                <w:szCs w:val="24"/>
              </w:rPr>
            </w:pPr>
            <w:r>
              <w:rPr>
                <w:rFonts w:hint="eastAsia" w:ascii="宋体" w:hAnsi="宋体" w:eastAsia="宋体" w:cs="宋体"/>
                <w:sz w:val="24"/>
                <w:szCs w:val="24"/>
              </w:rPr>
              <w:t>3</w:t>
            </w:r>
          </w:p>
        </w:tc>
        <w:tc>
          <w:tcPr>
            <w:tcW w:w="654" w:type="pct"/>
            <w:vAlign w:val="center"/>
          </w:tcPr>
          <w:p>
            <w:pPr>
              <w:jc w:val="center"/>
              <w:rPr>
                <w:rFonts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方案</w:t>
            </w: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490" w:type="pct"/>
            <w:vAlign w:val="center"/>
          </w:tcPr>
          <w:p>
            <w:pPr>
              <w:ind w:firstLine="28"/>
              <w:jc w:val="center"/>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3529" w:type="pct"/>
            <w:vAlign w:val="center"/>
          </w:tcPr>
          <w:p>
            <w:pPr>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cs="宋体"/>
                <w:sz w:val="24"/>
                <w:szCs w:val="24"/>
              </w:rPr>
              <w:t>比选申请人</w:t>
            </w:r>
            <w:r>
              <w:rPr>
                <w:rFonts w:hint="eastAsia" w:ascii="宋体" w:hAnsi="宋体" w:eastAsia="宋体" w:cs="宋体"/>
                <w:sz w:val="24"/>
                <w:szCs w:val="24"/>
              </w:rPr>
              <w:t>提供的对项目的</w:t>
            </w:r>
            <w:r>
              <w:rPr>
                <w:rFonts w:hint="eastAsia" w:ascii="宋体" w:hAnsi="宋体" w:eastAsia="宋体" w:cs="宋体"/>
                <w:bCs/>
                <w:sz w:val="24"/>
                <w:szCs w:val="24"/>
              </w:rPr>
              <w:t>实施方案</w:t>
            </w:r>
            <w:r>
              <w:rPr>
                <w:rFonts w:hint="eastAsia" w:ascii="宋体" w:hAnsi="宋体" w:eastAsia="宋体" w:cs="宋体"/>
                <w:sz w:val="24"/>
                <w:szCs w:val="24"/>
              </w:rPr>
              <w:t>内容进行评审，内容至少包含：</w:t>
            </w:r>
            <w:r>
              <w:rPr>
                <w:rFonts w:hint="eastAsia" w:ascii="宋体" w:hAnsi="宋体" w:eastAsia="宋体" w:cs="宋体"/>
                <w:b/>
                <w:bCs/>
                <w:sz w:val="24"/>
                <w:szCs w:val="24"/>
              </w:rPr>
              <w:t>①</w:t>
            </w:r>
            <w:r>
              <w:rPr>
                <w:rFonts w:hint="eastAsia" w:ascii="宋体" w:hAnsi="宋体" w:eastAsia="宋体" w:cs="宋体"/>
                <w:b/>
                <w:bCs/>
                <w:sz w:val="24"/>
                <w:szCs w:val="24"/>
                <w:lang w:eastAsia="zh-CN"/>
              </w:rPr>
              <w:t>质量承诺书</w:t>
            </w:r>
            <w:r>
              <w:rPr>
                <w:rFonts w:hint="eastAsia" w:ascii="宋体" w:hAnsi="宋体" w:eastAsia="宋体" w:cs="宋体"/>
                <w:b/>
                <w:bCs/>
                <w:sz w:val="24"/>
                <w:szCs w:val="24"/>
              </w:rPr>
              <w:t>；②</w:t>
            </w:r>
            <w:r>
              <w:rPr>
                <w:rFonts w:hint="eastAsia" w:ascii="宋体" w:hAnsi="宋体" w:eastAsia="宋体" w:cs="宋体"/>
                <w:b/>
                <w:bCs/>
                <w:sz w:val="24"/>
                <w:szCs w:val="24"/>
                <w:lang w:eastAsia="zh-CN"/>
              </w:rPr>
              <w:t>售后服务</w:t>
            </w:r>
            <w:r>
              <w:rPr>
                <w:rFonts w:hint="eastAsia" w:ascii="宋体" w:hAnsi="宋体" w:eastAsia="宋体" w:cs="宋体"/>
                <w:b/>
                <w:bCs/>
                <w:sz w:val="24"/>
                <w:szCs w:val="24"/>
              </w:rPr>
              <w:t>；③</w:t>
            </w:r>
            <w:r>
              <w:rPr>
                <w:rFonts w:hint="eastAsia" w:ascii="宋体" w:hAnsi="宋体" w:eastAsia="宋体" w:cs="宋体"/>
                <w:b/>
                <w:bCs/>
                <w:sz w:val="24"/>
                <w:szCs w:val="24"/>
                <w:lang w:eastAsia="zh-CN"/>
              </w:rPr>
              <w:t>送货安排</w:t>
            </w:r>
            <w:r>
              <w:rPr>
                <w:rFonts w:hint="eastAsia" w:ascii="宋体" w:hAnsi="宋体" w:eastAsia="宋体" w:cs="宋体"/>
                <w:b/>
                <w:bCs/>
                <w:sz w:val="24"/>
                <w:szCs w:val="24"/>
              </w:rPr>
              <w:t>，</w:t>
            </w:r>
            <w:r>
              <w:rPr>
                <w:rFonts w:hint="eastAsia" w:ascii="宋体" w:hAnsi="宋体" w:eastAsia="宋体" w:cs="宋体"/>
                <w:sz w:val="24"/>
                <w:szCs w:val="24"/>
              </w:rPr>
              <w:t>进行综合评审，内容齐全且满足本项目实施进度及管理需求的得</w:t>
            </w:r>
            <w:r>
              <w:rPr>
                <w:rFonts w:hint="eastAsia" w:ascii="宋体" w:hAnsi="宋体" w:eastAsia="宋体" w:cs="宋体"/>
                <w:sz w:val="24"/>
                <w:szCs w:val="24"/>
                <w:lang w:val="en-US" w:eastAsia="zh-CN"/>
              </w:rPr>
              <w:t>15</w:t>
            </w:r>
            <w:r>
              <w:rPr>
                <w:rFonts w:hint="eastAsia" w:ascii="宋体" w:hAnsi="宋体" w:eastAsia="宋体" w:cs="宋体"/>
                <w:sz w:val="24"/>
                <w:szCs w:val="24"/>
              </w:rPr>
              <w:t>分，每有一项内容缺失扣</w:t>
            </w:r>
            <w:r>
              <w:rPr>
                <w:rFonts w:hint="eastAsia" w:ascii="宋体" w:hAnsi="宋体" w:cs="宋体"/>
                <w:sz w:val="24"/>
                <w:szCs w:val="24"/>
              </w:rPr>
              <w:t>5</w:t>
            </w:r>
            <w:r>
              <w:rPr>
                <w:rFonts w:hint="eastAsia" w:ascii="宋体" w:hAnsi="宋体" w:eastAsia="宋体" w:cs="宋体"/>
                <w:sz w:val="24"/>
                <w:szCs w:val="24"/>
              </w:rPr>
              <w:t>分，每有一项内容描述不合理或不完善的扣</w:t>
            </w:r>
            <w:r>
              <w:rPr>
                <w:rFonts w:hint="eastAsia" w:ascii="宋体" w:hAnsi="宋体" w:cs="宋体"/>
                <w:sz w:val="24"/>
                <w:szCs w:val="24"/>
              </w:rPr>
              <w:t>3</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25" w:type="pct"/>
            <w:vAlign w:val="center"/>
          </w:tcPr>
          <w:p>
            <w:pPr>
              <w:jc w:val="center"/>
              <w:rPr>
                <w:rFonts w:ascii="宋体" w:hAnsi="宋体" w:eastAsia="宋体" w:cs="宋体"/>
                <w:sz w:val="24"/>
                <w:szCs w:val="24"/>
              </w:rPr>
            </w:pPr>
          </w:p>
        </w:tc>
        <w:tc>
          <w:tcPr>
            <w:tcW w:w="654" w:type="pct"/>
            <w:vAlign w:val="center"/>
          </w:tcPr>
          <w:p>
            <w:pPr>
              <w:jc w:val="center"/>
              <w:rPr>
                <w:rFonts w:ascii="宋体" w:hAnsi="宋体" w:eastAsia="宋体" w:cs="宋体"/>
                <w:sz w:val="24"/>
                <w:szCs w:val="24"/>
              </w:rPr>
            </w:pPr>
            <w:r>
              <w:rPr>
                <w:rFonts w:hint="eastAsia" w:ascii="宋体" w:hAnsi="宋体" w:eastAsia="宋体" w:cs="宋体"/>
                <w:bCs/>
                <w:sz w:val="24"/>
                <w:szCs w:val="24"/>
              </w:rPr>
              <w:t>合计</w:t>
            </w:r>
          </w:p>
        </w:tc>
        <w:tc>
          <w:tcPr>
            <w:tcW w:w="490" w:type="pct"/>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100分</w:t>
            </w:r>
          </w:p>
        </w:tc>
        <w:tc>
          <w:tcPr>
            <w:tcW w:w="3529" w:type="pct"/>
            <w:vAlign w:val="center"/>
          </w:tcPr>
          <w:p>
            <w:pPr>
              <w:ind w:firstLine="480" w:firstLineChars="200"/>
              <w:rPr>
                <w:rFonts w:ascii="宋体" w:hAnsi="宋体" w:eastAsia="宋体" w:cs="宋体"/>
                <w:sz w:val="24"/>
                <w:szCs w:val="24"/>
              </w:rPr>
            </w:pPr>
          </w:p>
        </w:tc>
      </w:tr>
    </w:tbl>
    <w:p>
      <w:pPr>
        <w:rPr>
          <w:sz w:val="24"/>
          <w:szCs w:val="32"/>
        </w:rPr>
      </w:pPr>
    </w:p>
    <w:p>
      <w:pPr>
        <w:spacing w:line="360" w:lineRule="auto"/>
        <w:rPr>
          <w:sz w:val="24"/>
          <w:szCs w:val="24"/>
        </w:rPr>
      </w:pPr>
      <w:r>
        <w:rPr>
          <w:rFonts w:hint="eastAsia"/>
          <w:sz w:val="24"/>
          <w:szCs w:val="24"/>
        </w:rPr>
        <w:t>以上资料均需加盖鲜章，均须密封，并在封口处加盖公司公章。</w:t>
      </w:r>
    </w:p>
    <w:p>
      <w:pPr>
        <w:spacing w:line="360" w:lineRule="auto"/>
        <w:ind w:firstLine="420"/>
        <w:rPr>
          <w:sz w:val="24"/>
          <w:szCs w:val="24"/>
        </w:rPr>
      </w:pPr>
      <w:r>
        <w:rPr>
          <w:rFonts w:hint="eastAsia"/>
          <w:sz w:val="24"/>
          <w:szCs w:val="24"/>
        </w:rPr>
        <w:t>三、联系方式：</w:t>
      </w:r>
    </w:p>
    <w:p>
      <w:pPr>
        <w:spacing w:line="360" w:lineRule="auto"/>
        <w:ind w:firstLine="420"/>
        <w:rPr>
          <w:rFonts w:hint="default" w:eastAsiaTheme="minorEastAsia"/>
          <w:color w:val="auto"/>
          <w:sz w:val="24"/>
          <w:szCs w:val="24"/>
          <w:lang w:val="en-US" w:eastAsia="zh-CN"/>
        </w:rPr>
      </w:pPr>
      <w:r>
        <w:rPr>
          <w:rFonts w:hint="eastAsia"/>
          <w:color w:val="auto"/>
          <w:sz w:val="24"/>
          <w:szCs w:val="24"/>
        </w:rPr>
        <w:t>联系人：</w:t>
      </w:r>
      <w:r>
        <w:rPr>
          <w:rFonts w:hint="eastAsia"/>
          <w:color w:val="auto"/>
          <w:sz w:val="24"/>
          <w:szCs w:val="24"/>
          <w:lang w:eastAsia="zh-CN"/>
        </w:rPr>
        <w:t>李老师</w:t>
      </w:r>
      <w:r>
        <w:rPr>
          <w:rFonts w:hint="eastAsia"/>
          <w:color w:val="auto"/>
          <w:sz w:val="24"/>
          <w:szCs w:val="24"/>
        </w:rPr>
        <w:t xml:space="preserve">  </w:t>
      </w:r>
      <w:r>
        <w:rPr>
          <w:rFonts w:hint="eastAsia"/>
          <w:color w:val="auto"/>
          <w:sz w:val="24"/>
          <w:szCs w:val="24"/>
          <w:lang w:val="en-US" w:eastAsia="zh-CN"/>
        </w:rPr>
        <w:t>18628088712</w:t>
      </w:r>
    </w:p>
    <w:p>
      <w:pPr>
        <w:spacing w:line="360" w:lineRule="auto"/>
        <w:ind w:firstLine="420"/>
        <w:jc w:val="right"/>
        <w:rPr>
          <w:sz w:val="24"/>
          <w:szCs w:val="24"/>
        </w:rPr>
      </w:pPr>
      <w:r>
        <w:rPr>
          <w:rFonts w:hint="eastAsia"/>
          <w:sz w:val="24"/>
          <w:szCs w:val="24"/>
        </w:rPr>
        <w:t>成都市泡桐树小学（天府校区）</w:t>
      </w:r>
    </w:p>
    <w:p>
      <w:pPr>
        <w:spacing w:line="360" w:lineRule="auto"/>
        <w:ind w:firstLine="420"/>
        <w:jc w:val="right"/>
        <w:rPr>
          <w:rFonts w:hint="eastAsia"/>
          <w:color w:val="auto"/>
          <w:sz w:val="24"/>
          <w:szCs w:val="24"/>
        </w:rPr>
      </w:pPr>
      <w:r>
        <w:rPr>
          <w:rFonts w:hint="eastAsia"/>
          <w:color w:val="auto"/>
          <w:sz w:val="24"/>
          <w:szCs w:val="24"/>
        </w:rPr>
        <w:t xml:space="preserve"> 202</w:t>
      </w:r>
      <w:r>
        <w:rPr>
          <w:rFonts w:hint="eastAsia"/>
          <w:color w:val="auto"/>
          <w:sz w:val="24"/>
          <w:szCs w:val="24"/>
          <w:lang w:val="en-US" w:eastAsia="zh-CN"/>
        </w:rPr>
        <w:t>5</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12</w:t>
      </w:r>
      <w:r>
        <w:rPr>
          <w:rFonts w:hint="eastAsia"/>
          <w:color w:val="auto"/>
          <w:sz w:val="24"/>
          <w:szCs w:val="24"/>
        </w:rPr>
        <w:t>日</w:t>
      </w:r>
    </w:p>
    <w:p>
      <w:pPr>
        <w:rPr>
          <w:rFonts w:hint="eastAsia"/>
          <w:color w:val="auto"/>
          <w:sz w:val="24"/>
          <w:szCs w:val="24"/>
        </w:rPr>
        <w:sectPr>
          <w:pgSz w:w="11906" w:h="16838"/>
          <w:pgMar w:top="1270" w:right="1800" w:bottom="127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color w:val="auto"/>
          <w:sz w:val="36"/>
          <w:szCs w:val="36"/>
          <w:lang w:eastAsia="zh-CN"/>
        </w:rPr>
      </w:pPr>
      <w:r>
        <w:rPr>
          <w:rFonts w:hint="eastAsia"/>
          <w:color w:val="auto"/>
          <w:sz w:val="36"/>
          <w:szCs w:val="36"/>
          <w:lang w:eastAsia="zh-CN"/>
        </w:rPr>
        <w:t>附件一</w:t>
      </w:r>
    </w:p>
    <w:p>
      <w:pPr>
        <w:pStyle w:val="2"/>
        <w:rPr>
          <w:rFonts w:hint="eastAsia"/>
          <w:lang w:eastAsia="zh-CN"/>
        </w:rPr>
      </w:pPr>
    </w:p>
    <w:tbl>
      <w:tblPr>
        <w:tblStyle w:val="5"/>
        <w:tblW w:w="153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9510"/>
        <w:gridCol w:w="1215"/>
        <w:gridCol w:w="930"/>
        <w:gridCol w:w="138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9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课程介绍及包含物品参数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控制单价（元）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星球探索实践套装（初级）</w:t>
            </w:r>
          </w:p>
        </w:tc>
        <w:tc>
          <w:tcPr>
            <w:tcW w:w="9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套装（初级）是以探索可适合人类居住的外星球为背景，专门为7-14岁青少年设计的航天科技创新实践套装。该套装以金属结构件作为个性化创作的积木，以教育开发板M1作为核心主控，以多功能扩展板作为转接中心，配备了2.4G无线遥控器、双路循迹传感器、超声波传感器、人体红外传感器、4*4RGB点阵、时钟数码模块、光线传感器等，结编程软件不但可以实现在地外星球探索时的各种功能模拟，程序编写，还可以用于在项目中激发学生的探索学习兴趣，培养学生的创新思维、计算思维、设计思维能力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主要功能模块：包含教育开发板M1*1；多功能扩展板*1；两自由度配柔性机械爪机械臂*1；金属结构件不少于16种且不少于40个，包含方口梁4孔*2、方口梁6孔*4、方口梁7孔*2、方口梁8孔*4、方口梁11孔*2、方口梁12孔*2、双孔梁2孔*2、双孔梁4孔*2、双孔梁5孔*2、双孔梁9孔*1、双孔直角梁7孔*2、双孔直角梁8孔*2、角度感135支架*6、传感器支架*4、135双头多功能连接片*2、24*96连接片*1；金属结构件配件不少于16种且不少于230个，包含M4*30光轴*2、M4*150光轴*1、轴套*4、传动固定盘*4、多规格M3螺丝、多规格M4螺丝、M3/M4防松螺母等；电子元器件模块不少于7种，包含2.4G无线遥控器模块*1、双路循迹传感器*1、超声波传感器*1、人体红外传感器*1、4*4 RGB点阵*1、时钟数码模块*1、光线传感器*1；驱动模块不少于4个，包含带线TT电机*4、80mm麦克纳姆轮*4、六角联轴器*4；动力电池不少于1个，包含7.4V 35C 3500mAH锂电池*1、平衡充电器*1、专用充电线*1；连接线材不少于3种且不少于10根。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▲教育开发板M1所使用的为国产系统及国产芯片，且自主可控。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教育开发板M1技术参数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主控芯片：Hi3861V100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工作电压：电源电压输入范围：2.3-3.6V（最大支持5V），I/O电源电压支持1.8V和3.3V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CPU：32bit 微处理器，最大工作频率 160MHz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存储：SRAM 352KB、ROM 288KB 、2MB Flash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USB接口：Type_C</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Wifi支持： 2.4GHz 频段，支持 IEEE802.11b/g/n</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外设接口：括 SPI、UART、I2C、PWM、GPIO 、ADC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I/O引脚：13个I/O引脚</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I2C接口：最高支持400Kbit/s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SPI接口：最高支持40MHz</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UART：最高支持921600波特率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产品尺寸：51.6×43.8mm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板载功能：LED点阵屏、三轴加速度计、NFC</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NFC检测距离：≤1.5cm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操作系统：鸿蒙系统 V3.0LTS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▲多功能扩展板TQ-E2技术参数：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供电电源：+9-15V（推荐+11.1V 3S 35C聚合物锂电池）</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供电电气接口：XT60-F*1</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电机电气接口：PH2.0-2P*8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模块电气接口：PH2.0-4P*16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RC舵机电气接口：2.54-3P*8</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总线舵机电气接口：PH2.0-3P*2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机械尺寸：8cm×8cm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安装孔距：7.2cm×7.2cm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安装孔径：φ4.85mm（适配乐高销）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电源稳压IC：XL4015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电量检测IC：HM1165（4档指示,0%-25%-50%-75%-100%四个电量区间，按键点亮显示）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PWM扩展IC：PCA9685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IO扩展IC：PCF8574T</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电机驱动IC：RZ7889*8，M0-7（支持8路3A直流电机控制，伴随LED指示方向）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电机控制端口：8个，PCA9685_0X40，CH0-7控制速度，PCF8574T_0X27 控制电机转向（12V供电）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RC舵机控制端口：8个，PCA9685_0X40，CH8-15（5V供电）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总线舵机控制端口：2个，TXD/RXD（5V供电）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扩展数字IO：8个，PCF8574T_0X24，D0-7（3.3V供电）</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扩展2.4G接收器：8个，PCF8574T_0X20，（内置4枚红绿信号灯，实时显示上下左右，前进后退左转右转8通道遥控信号）</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主板扩展IO：3个 P0\1\2\3（3.3V供电）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13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4258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￥55,354.00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6"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星球探索实践赛事扩展包</w:t>
            </w:r>
          </w:p>
        </w:tc>
        <w:tc>
          <w:tcPr>
            <w:tcW w:w="9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赛事扩展包是为竞技任务设计的星球车高性能专用升级包，也是人工智能及机器视觉领域的爱好者和教育者设计的先进学习工具。套装内含有高性能的AI视觉识别模块，旨在提供一个互动的平台，能够帮助学生们理解并应用AI视觉识别技术，激发他们在人工智能领域的兴趣和创造力。以学习和实验最新的图像处理和机器学习技术。套装包含的材料如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一、AI视觉识别模块*1、视觉识别卡片组合*1、AI模块金属支架*1、TT马达支架，不少于2种传感器和执行器，包含金属轴TT电机*4、四路寻迹传感器*1等。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二、fpc排线*1、传感器连接线40cm*2、电机延长线30cm*4</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三、紧固件、螺丝刀、套筒等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13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1750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7"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课程平台-星球探索实践套装（初级）课程资源包</w:t>
            </w:r>
          </w:p>
        </w:tc>
        <w:tc>
          <w:tcPr>
            <w:tcW w:w="9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星球探索实践（初级）课程以星球车为背景，以星球运输、探索任务为核心，学习星球车的基础知识以及星球车的编程控制。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“星球车探索实践（初级）套装”以教育开发板M1为控制核心，以功能丰富的拓展板和传感器及执行器为依托，搭配编程软件软件编程平台，为小学阶段学生的星球车学习提供了良好的软硬件基础。</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在亲身体验不同的星球探索的任务时，学生能学习到不同传感器和执行器的编程方法，并从中扩展出多种项目实践活动，从而培养学生的认知能力、动手能力、合作能力、解决问题能力和创新能力。</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课时安排：12次课，2课时/次，共24课时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课程资源：线上课程课件、教学设计、程序示例、录播课程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课程目录：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1、认识星球车2、结构搭建3、动力系统4、遥控装置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5、自动驾驶6、环境监测7、任务018、任务029、任务03</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10、挑战任务11、创意课程0112、创意课程02</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5160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5"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星球探索实践赛事课程资源包-小学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（集训版）</w:t>
            </w:r>
          </w:p>
        </w:tc>
        <w:tc>
          <w:tcPr>
            <w:tcW w:w="9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探索实践赛事课程（小学）以月球科研站建设为背景，以星球勘探、资源开发、科学试验等任务为核心，学习有关月球探测车的相关知识，包含基础航天知识和编程训练。以教育开发板M1为控制核心，以功能丰富的拓展板和传感器及执行器为依托，结合AI视觉模块，更可以升级月球探测车的自动化程度和多任务执行能力。不仅能让学生学习到航天知识、提升逻辑思维能力、锻炼动手实践能力，还可以让他们感受人工智能的魅力，培养对科学技术的兴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▲课程内容：6次课，12课时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教学资源：教学设计、教学课件、教学视频、操作视频、程序示例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8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星球车竞技场地模型套装</w:t>
            </w:r>
          </w:p>
        </w:tc>
        <w:tc>
          <w:tcPr>
            <w:tcW w:w="95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星球车竞技场地模型套装适用于星球探索（初级）产品，完成组装后可用于星球车模拟开展星球自动驾驶、环境勘测、货物运输等竞技任务。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该套装包含：</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-场地地图：彩色印刷，尺寸不小于2m*1.5m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-模拟货物：不少于6个正方体木块，单个尺寸不小于4*4*cm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-模拟装置：不少于3个任务装置，任务装置由2.8mm密度板激光切割而成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-其他：资源模拟设备、场地固定材料、加工工具等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2760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116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合计金额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￥86,024.00</w:t>
            </w:r>
          </w:p>
        </w:tc>
      </w:tr>
    </w:tbl>
    <w:p>
      <w:pPr>
        <w:rPr>
          <w:rFonts w:hint="eastAsia"/>
          <w:color w:val="auto"/>
          <w:sz w:val="21"/>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2"/>
        <w:ind w:left="0" w:leftChars="0" w:firstLine="0" w:firstLineChars="0"/>
        <w:rPr>
          <w:rFonts w:hint="eastAsia"/>
          <w:b/>
          <w:bCs/>
          <w:sz w:val="28"/>
          <w:szCs w:val="28"/>
        </w:rPr>
      </w:pPr>
    </w:p>
    <w:p>
      <w:pPr>
        <w:rPr>
          <w:b/>
          <w:bCs/>
          <w:sz w:val="28"/>
          <w:szCs w:val="28"/>
        </w:rPr>
      </w:pPr>
      <w:r>
        <w:rPr>
          <w:rFonts w:hint="eastAsia"/>
          <w:b/>
          <w:bCs/>
          <w:sz w:val="28"/>
          <w:szCs w:val="28"/>
        </w:rPr>
        <w:t>附件</w:t>
      </w:r>
      <w:r>
        <w:rPr>
          <w:rFonts w:hint="eastAsia"/>
          <w:b/>
          <w:bCs/>
          <w:sz w:val="28"/>
          <w:szCs w:val="28"/>
          <w:lang w:eastAsia="zh-CN"/>
        </w:rPr>
        <w:t>二</w:t>
      </w:r>
      <w:r>
        <w:rPr>
          <w:rFonts w:hint="eastAsia"/>
          <w:b/>
          <w:bCs/>
          <w:sz w:val="28"/>
          <w:szCs w:val="28"/>
        </w:rPr>
        <w:t>：《报价单》</w:t>
      </w:r>
    </w:p>
    <w:p>
      <w:pPr>
        <w:spacing w:line="600" w:lineRule="auto"/>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成都市泡桐树小学（天府校区）</w:t>
      </w:r>
    </w:p>
    <w:p>
      <w:pPr>
        <w:spacing w:line="600" w:lineRule="auto"/>
        <w:jc w:val="center"/>
        <w:rPr>
          <w:rFonts w:hint="eastAsia" w:ascii="微软雅黑" w:hAnsi="微软雅黑" w:eastAsia="微软雅黑" w:cs="微软雅黑"/>
          <w:b/>
          <w:color w:val="000000"/>
          <w:sz w:val="28"/>
          <w:szCs w:val="28"/>
          <w:lang w:val="en-US" w:eastAsia="zh-CN"/>
        </w:rPr>
      </w:pPr>
      <w:r>
        <w:rPr>
          <w:rFonts w:hint="eastAsia" w:ascii="微软雅黑" w:hAnsi="微软雅黑" w:eastAsia="微软雅黑" w:cs="微软雅黑"/>
          <w:b/>
          <w:color w:val="000000"/>
          <w:sz w:val="28"/>
          <w:szCs w:val="28"/>
          <w:lang w:val="en-US" w:eastAsia="zh-CN"/>
        </w:rPr>
        <w:t>航空航天课程器材采购报价单</w:t>
      </w:r>
    </w:p>
    <w:p>
      <w:pPr>
        <w:tabs>
          <w:tab w:val="left" w:pos="4761"/>
        </w:tabs>
        <w:spacing w:line="600" w:lineRule="auto"/>
        <w:jc w:val="left"/>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单位名称：</w:t>
      </w:r>
      <w:r>
        <w:rPr>
          <w:rFonts w:hint="eastAsia" w:ascii="微软雅黑" w:hAnsi="微软雅黑" w:eastAsia="微软雅黑" w:cs="微软雅黑"/>
          <w:b w:val="0"/>
          <w:bCs/>
          <w:sz w:val="24"/>
          <w:u w:val="single"/>
          <w:lang w:val="en-US" w:eastAsia="zh-CN"/>
        </w:rPr>
        <w:t xml:space="preserve">                                                      </w:t>
      </w:r>
    </w:p>
    <w:p>
      <w:pPr>
        <w:tabs>
          <w:tab w:val="left" w:pos="4761"/>
        </w:tabs>
        <w:spacing w:line="600" w:lineRule="auto"/>
        <w:jc w:val="left"/>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联系人：</w:t>
      </w:r>
      <w:r>
        <w:rPr>
          <w:rFonts w:hint="eastAsia" w:ascii="微软雅黑" w:hAnsi="微软雅黑" w:eastAsia="微软雅黑" w:cs="微软雅黑"/>
          <w:b w:val="0"/>
          <w:bCs/>
          <w:sz w:val="24"/>
          <w:u w:val="single"/>
          <w:lang w:val="en-US" w:eastAsia="zh-CN"/>
        </w:rPr>
        <w:t xml:space="preserve">                                                        </w:t>
      </w:r>
    </w:p>
    <w:p>
      <w:pPr>
        <w:tabs>
          <w:tab w:val="left" w:pos="4761"/>
        </w:tabs>
        <w:spacing w:line="600" w:lineRule="auto"/>
        <w:jc w:val="left"/>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联系电话：</w:t>
      </w:r>
      <w:r>
        <w:rPr>
          <w:rFonts w:hint="eastAsia" w:ascii="微软雅黑" w:hAnsi="微软雅黑" w:eastAsia="微软雅黑" w:cs="微软雅黑"/>
          <w:b w:val="0"/>
          <w:bCs/>
          <w:sz w:val="24"/>
          <w:u w:val="single"/>
          <w:lang w:val="en-US" w:eastAsia="zh-CN"/>
        </w:rPr>
        <w:t xml:space="preserve">                                                      </w:t>
      </w:r>
    </w:p>
    <w:p>
      <w:pPr>
        <w:tabs>
          <w:tab w:val="left" w:pos="4761"/>
        </w:tabs>
        <w:spacing w:line="600" w:lineRule="auto"/>
        <w:jc w:val="left"/>
        <w:rPr>
          <w:rFonts w:ascii="微软雅黑" w:hAnsi="微软雅黑" w:eastAsia="微软雅黑" w:cs="微软雅黑"/>
          <w:b w:val="0"/>
          <w:bCs/>
          <w:sz w:val="24"/>
          <w:u w:val="single"/>
        </w:rPr>
      </w:pPr>
      <w:r>
        <w:rPr>
          <w:rFonts w:hint="eastAsia" w:ascii="微软雅黑" w:hAnsi="微软雅黑" w:eastAsia="微软雅黑" w:cs="微软雅黑"/>
          <w:b w:val="0"/>
          <w:bCs/>
          <w:sz w:val="24"/>
        </w:rPr>
        <w:t>报价日期：</w:t>
      </w:r>
      <w:r>
        <w:rPr>
          <w:rFonts w:hint="eastAsia" w:ascii="微软雅黑" w:hAnsi="微软雅黑" w:eastAsia="微软雅黑" w:cs="微软雅黑"/>
          <w:b w:val="0"/>
          <w:bCs/>
          <w:sz w:val="24"/>
          <w:u w:val="single"/>
        </w:rPr>
        <w:t xml:space="preserve">      年    月    日</w:t>
      </w:r>
    </w:p>
    <w:p>
      <w:pPr>
        <w:pStyle w:val="2"/>
        <w:spacing w:line="600" w:lineRule="auto"/>
        <w:ind w:left="0" w:leftChars="0" w:firstLine="0" w:firstLineChars="0"/>
        <w:rPr>
          <w:rFonts w:hint="default" w:ascii="微软雅黑" w:hAnsi="微软雅黑" w:eastAsia="微软雅黑" w:cs="微软雅黑"/>
          <w:b w:val="0"/>
          <w:bCs/>
          <w:kern w:val="2"/>
          <w:sz w:val="24"/>
          <w:szCs w:val="24"/>
          <w:u w:val="single"/>
          <w:lang w:val="en-US" w:eastAsia="zh-CN" w:bidi="ar-SA"/>
        </w:rPr>
      </w:pPr>
      <w:r>
        <w:rPr>
          <w:rFonts w:hint="eastAsia" w:ascii="微软雅黑" w:hAnsi="微软雅黑" w:eastAsia="微软雅黑" w:cs="微软雅黑"/>
          <w:b w:val="0"/>
          <w:bCs/>
          <w:kern w:val="2"/>
          <w:sz w:val="24"/>
          <w:szCs w:val="24"/>
          <w:lang w:val="en-US" w:eastAsia="zh-CN" w:bidi="ar-SA"/>
        </w:rPr>
        <w:t>报价：</w:t>
      </w:r>
      <w:r>
        <w:rPr>
          <w:rFonts w:hint="eastAsia" w:ascii="微软雅黑" w:hAnsi="微软雅黑" w:eastAsia="微软雅黑" w:cs="微软雅黑"/>
          <w:b w:val="0"/>
          <w:bCs/>
          <w:kern w:val="2"/>
          <w:sz w:val="24"/>
          <w:szCs w:val="24"/>
          <w:u w:val="single"/>
          <w:lang w:val="en-US" w:eastAsia="zh-CN" w:bidi="ar-SA"/>
        </w:rPr>
        <w:t xml:space="preserve">         元 （大写                                    ）</w:t>
      </w:r>
    </w:p>
    <w:p>
      <w:pPr>
        <w:pStyle w:val="2"/>
        <w:spacing w:line="600" w:lineRule="auto"/>
        <w:ind w:left="0" w:leftChars="0" w:firstLine="0" w:firstLineChars="0"/>
      </w:pPr>
    </w:p>
    <w:p>
      <w:pPr>
        <w:spacing w:line="360" w:lineRule="auto"/>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ascii="微软雅黑" w:hAnsi="微软雅黑" w:eastAsia="微软雅黑" w:cs="微软雅黑"/>
          <w:i w:val="0"/>
          <w:iCs w:val="0"/>
          <w:color w:val="auto"/>
          <w:kern w:val="0"/>
          <w:sz w:val="22"/>
          <w:szCs w:val="22"/>
          <w:u w:val="none"/>
          <w:lang w:val="en-US" w:eastAsia="zh-CN" w:bidi="ar"/>
        </w:rPr>
        <w:t>86024.00</w:t>
      </w:r>
      <w:r>
        <w:rPr>
          <w:rFonts w:hint="eastAsia"/>
          <w:sz w:val="24"/>
        </w:rPr>
        <w:t>元，否则视为无效报价；所供产品或服务的规格及质量应达到国家标准。</w:t>
      </w:r>
    </w:p>
    <w:p>
      <w:pPr>
        <w:spacing w:line="360" w:lineRule="auto"/>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9F6E5"/>
    <w:multiLevelType w:val="singleLevel"/>
    <w:tmpl w:val="0DE9F6E5"/>
    <w:lvl w:ilvl="0" w:tentative="0">
      <w:start w:val="1"/>
      <w:numFmt w:val="decimal"/>
      <w:suff w:val="nothing"/>
      <w:lvlText w:val="%1、"/>
      <w:lvlJc w:val="left"/>
      <w:pPr>
        <w:ind w:left="630" w:leftChars="0" w:firstLine="0" w:firstLineChars="0"/>
      </w:pPr>
    </w:lvl>
  </w:abstractNum>
  <w:abstractNum w:abstractNumId="1">
    <w:nsid w:val="145F8F86"/>
    <w:multiLevelType w:val="singleLevel"/>
    <w:tmpl w:val="145F8F86"/>
    <w:lvl w:ilvl="0" w:tentative="0">
      <w:start w:val="1"/>
      <w:numFmt w:val="chineseCounting"/>
      <w:suff w:val="nothing"/>
      <w:lvlText w:val="%1、"/>
      <w:lvlJc w:val="left"/>
      <w:rPr>
        <w:rFonts w:hint="eastAsia"/>
      </w:rPr>
    </w:lvl>
  </w:abstractNum>
  <w:abstractNum w:abstractNumId="2">
    <w:nsid w:val="4FE28DC8"/>
    <w:multiLevelType w:val="singleLevel"/>
    <w:tmpl w:val="4FE28DC8"/>
    <w:lvl w:ilvl="0" w:tentative="0">
      <w:start w:val="1"/>
      <w:numFmt w:val="decimal"/>
      <w:suff w:val="nothing"/>
      <w:lvlText w:val="（%1）"/>
      <w:lvlJc w:val="left"/>
      <w:pPr>
        <w:ind w:left="1"/>
      </w:pPr>
    </w:lvl>
  </w:abstractNum>
  <w:abstractNum w:abstractNumId="3">
    <w:nsid w:val="7AC02E84"/>
    <w:multiLevelType w:val="singleLevel"/>
    <w:tmpl w:val="7AC02E84"/>
    <w:lvl w:ilvl="0" w:tentative="0">
      <w:start w:val="3"/>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2U4OTU3NWExZDJmNmEyYzU0MzdhMTUyYzkwZmUifQ=="/>
  </w:docVars>
  <w:rsids>
    <w:rsidRoot w:val="007A5E55"/>
    <w:rsid w:val="000D0589"/>
    <w:rsid w:val="00521921"/>
    <w:rsid w:val="005444C9"/>
    <w:rsid w:val="007A5E55"/>
    <w:rsid w:val="008B78F2"/>
    <w:rsid w:val="01590630"/>
    <w:rsid w:val="05971B3D"/>
    <w:rsid w:val="059D09F2"/>
    <w:rsid w:val="05DC2C94"/>
    <w:rsid w:val="0C6B64E4"/>
    <w:rsid w:val="0C74486D"/>
    <w:rsid w:val="0DE57BD3"/>
    <w:rsid w:val="0E654A87"/>
    <w:rsid w:val="101D4830"/>
    <w:rsid w:val="120B6191"/>
    <w:rsid w:val="14B02BF7"/>
    <w:rsid w:val="15367319"/>
    <w:rsid w:val="15741F6F"/>
    <w:rsid w:val="166812AF"/>
    <w:rsid w:val="195031B3"/>
    <w:rsid w:val="1961157A"/>
    <w:rsid w:val="1ABD5105"/>
    <w:rsid w:val="1BC028B8"/>
    <w:rsid w:val="1CDB48F5"/>
    <w:rsid w:val="1E420172"/>
    <w:rsid w:val="1E4673C7"/>
    <w:rsid w:val="1EE3413B"/>
    <w:rsid w:val="21162D53"/>
    <w:rsid w:val="2232115D"/>
    <w:rsid w:val="2457666B"/>
    <w:rsid w:val="275D687E"/>
    <w:rsid w:val="29ED4990"/>
    <w:rsid w:val="2DAD45B2"/>
    <w:rsid w:val="2DC640F4"/>
    <w:rsid w:val="2EB623E0"/>
    <w:rsid w:val="318F3BCB"/>
    <w:rsid w:val="38046C23"/>
    <w:rsid w:val="38545D1F"/>
    <w:rsid w:val="3AE63954"/>
    <w:rsid w:val="3BB12048"/>
    <w:rsid w:val="3D4E7CEB"/>
    <w:rsid w:val="3DEF2ED4"/>
    <w:rsid w:val="420C7940"/>
    <w:rsid w:val="43A166C0"/>
    <w:rsid w:val="453E313B"/>
    <w:rsid w:val="47F46B2A"/>
    <w:rsid w:val="48144482"/>
    <w:rsid w:val="48356E5A"/>
    <w:rsid w:val="4934622D"/>
    <w:rsid w:val="4A457B43"/>
    <w:rsid w:val="4C3C3B81"/>
    <w:rsid w:val="4CC07861"/>
    <w:rsid w:val="4D73213F"/>
    <w:rsid w:val="4D746C06"/>
    <w:rsid w:val="4DC01311"/>
    <w:rsid w:val="56441CB0"/>
    <w:rsid w:val="574D3F3F"/>
    <w:rsid w:val="57516EAD"/>
    <w:rsid w:val="57EF64D0"/>
    <w:rsid w:val="5A297BD9"/>
    <w:rsid w:val="5A4D5BFE"/>
    <w:rsid w:val="5DE97726"/>
    <w:rsid w:val="5E7469EA"/>
    <w:rsid w:val="5F2D53AA"/>
    <w:rsid w:val="603729AF"/>
    <w:rsid w:val="60587A04"/>
    <w:rsid w:val="6368587A"/>
    <w:rsid w:val="672A1E6E"/>
    <w:rsid w:val="6A5F13D6"/>
    <w:rsid w:val="6B635858"/>
    <w:rsid w:val="6E107181"/>
    <w:rsid w:val="6EBD6337"/>
    <w:rsid w:val="73A57AB3"/>
    <w:rsid w:val="75680B7D"/>
    <w:rsid w:val="75912312"/>
    <w:rsid w:val="75F41B61"/>
    <w:rsid w:val="765724BD"/>
    <w:rsid w:val="781B4C84"/>
    <w:rsid w:val="782E59C7"/>
    <w:rsid w:val="79DC1BF2"/>
    <w:rsid w:val="7A697FF3"/>
    <w:rsid w:val="7BD3022A"/>
    <w:rsid w:val="7C0335CA"/>
    <w:rsid w:val="7C6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99"/>
    <w:pPr>
      <w:spacing w:after="120"/>
    </w:pPr>
  </w:style>
  <w:style w:type="paragraph" w:styleId="4">
    <w:name w:val="Balloon Text"/>
    <w:basedOn w:val="1"/>
    <w:link w:val="12"/>
    <w:qFormat/>
    <w:uiPriority w:val="0"/>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font61"/>
    <w:basedOn w:val="7"/>
    <w:qFormat/>
    <w:uiPriority w:val="0"/>
    <w:rPr>
      <w:rFonts w:hint="default" w:ascii="楷体_GB2312" w:eastAsia="楷体_GB2312" w:cs="楷体_GB2312"/>
      <w:color w:val="000000"/>
      <w:sz w:val="24"/>
      <w:szCs w:val="24"/>
      <w:u w:val="none"/>
    </w:rPr>
  </w:style>
  <w:style w:type="character" w:customStyle="1" w:styleId="10">
    <w:name w:val="font01"/>
    <w:basedOn w:val="7"/>
    <w:qFormat/>
    <w:uiPriority w:val="0"/>
    <w:rPr>
      <w:rFonts w:hint="eastAsia" w:ascii="宋体" w:hAnsi="宋体" w:eastAsia="宋体" w:cs="宋体"/>
      <w:color w:val="000000"/>
      <w:sz w:val="24"/>
      <w:szCs w:val="24"/>
      <w:u w:val="none"/>
    </w:rPr>
  </w:style>
  <w:style w:type="character" w:customStyle="1" w:styleId="11">
    <w:name w:val="font41"/>
    <w:basedOn w:val="7"/>
    <w:qFormat/>
    <w:uiPriority w:val="0"/>
    <w:rPr>
      <w:rFonts w:hint="default" w:ascii="Times New Roman" w:hAnsi="Times New Roman" w:cs="Times New Roman"/>
      <w:color w:val="000000"/>
      <w:sz w:val="24"/>
      <w:szCs w:val="24"/>
      <w:u w:val="none"/>
    </w:rPr>
  </w:style>
  <w:style w:type="character" w:customStyle="1" w:styleId="12">
    <w:name w:val="批注框文本 字符"/>
    <w:basedOn w:val="7"/>
    <w:link w:val="4"/>
    <w:qFormat/>
    <w:uiPriority w:val="0"/>
    <w:rPr>
      <w:rFonts w:asciiTheme="minorHAnsi" w:hAnsiTheme="minorHAnsi" w:eastAsiaTheme="minorEastAsia" w:cstheme="minorBidi"/>
      <w:kern w:val="2"/>
      <w:sz w:val="18"/>
      <w:szCs w:val="18"/>
    </w:rPr>
  </w:style>
  <w:style w:type="paragraph" w:customStyle="1" w:styleId="13">
    <w:name w:val="Table Paragraph"/>
    <w:basedOn w:val="1"/>
    <w:qFormat/>
    <w:uiPriority w:val="1"/>
  </w:style>
  <w:style w:type="character" w:customStyle="1" w:styleId="14">
    <w:name w:val="font51"/>
    <w:basedOn w:val="7"/>
    <w:qFormat/>
    <w:uiPriority w:val="0"/>
    <w:rPr>
      <w:rFonts w:hint="eastAsia" w:ascii="宋体" w:hAnsi="宋体" w:eastAsia="宋体" w:cs="宋体"/>
      <w:b/>
      <w:color w:val="000000"/>
      <w:sz w:val="18"/>
      <w:szCs w:val="18"/>
      <w:u w:val="none"/>
    </w:rPr>
  </w:style>
  <w:style w:type="character" w:customStyle="1" w:styleId="15">
    <w:name w:val="font91"/>
    <w:basedOn w:val="7"/>
    <w:qFormat/>
    <w:uiPriority w:val="0"/>
    <w:rPr>
      <w:rFonts w:hint="eastAsia" w:ascii="宋体" w:hAnsi="宋体" w:eastAsia="宋体" w:cs="宋体"/>
      <w:b/>
      <w:color w:val="000000"/>
      <w:sz w:val="18"/>
      <w:szCs w:val="18"/>
      <w:u w:val="none"/>
    </w:rPr>
  </w:style>
  <w:style w:type="character" w:customStyle="1" w:styleId="16">
    <w:name w:val="font112"/>
    <w:basedOn w:val="7"/>
    <w:qFormat/>
    <w:uiPriority w:val="0"/>
    <w:rPr>
      <w:rFonts w:hint="eastAsia" w:ascii="宋体" w:hAnsi="宋体" w:eastAsia="宋体" w:cs="宋体"/>
      <w:color w:val="000000"/>
      <w:sz w:val="18"/>
      <w:szCs w:val="18"/>
      <w:u w:val="none"/>
    </w:rPr>
  </w:style>
  <w:style w:type="character" w:customStyle="1" w:styleId="17">
    <w:name w:val="font81"/>
    <w:basedOn w:val="7"/>
    <w:qFormat/>
    <w:uiPriority w:val="0"/>
    <w:rPr>
      <w:rFonts w:hint="eastAsia" w:ascii="宋体" w:hAnsi="宋体" w:eastAsia="宋体" w:cs="宋体"/>
      <w:color w:val="FF0000"/>
      <w:sz w:val="18"/>
      <w:szCs w:val="18"/>
      <w:u w:val="none"/>
    </w:rPr>
  </w:style>
  <w:style w:type="character" w:customStyle="1" w:styleId="18">
    <w:name w:val="font7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1333</Characters>
  <Lines>11</Lines>
  <Paragraphs>3</Paragraphs>
  <TotalTime>14</TotalTime>
  <ScaleCrop>false</ScaleCrop>
  <LinksUpToDate>false</LinksUpToDate>
  <CharactersWithSpaces>1563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2020-05-26T02:12:00Z</dcterms:created>
  <dc:creator>user</dc:creator>
  <cp:lastModifiedBy>叶</cp:lastModifiedBy>
  <cp:lastPrinted>2023-10-23T08:31:00Z</cp:lastPrinted>
  <dcterms:modified xsi:type="dcterms:W3CDTF">2025-06-12T08:53:30Z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8F6F654FB3384565BC1970958061FE26</vt:lpwstr>
  </property>
</Properties>
</file>