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44"/>
        </w:rPr>
      </w:pPr>
      <w:r>
        <w:rPr>
          <w:rFonts w:hint="eastAsia"/>
          <w:sz w:val="36"/>
          <w:szCs w:val="44"/>
        </w:rPr>
        <w:t>成都市泡桐树小学（天府校区）</w:t>
      </w:r>
    </w:p>
    <w:p>
      <w:pPr>
        <w:jc w:val="center"/>
        <w:rPr>
          <w:rFonts w:hint="eastAsia"/>
          <w:sz w:val="32"/>
          <w:szCs w:val="40"/>
          <w:lang w:val="en-US" w:eastAsia="zh-CN"/>
        </w:rPr>
      </w:pPr>
      <w:r>
        <w:rPr>
          <w:rFonts w:hint="eastAsia"/>
          <w:sz w:val="32"/>
          <w:szCs w:val="40"/>
          <w:lang w:val="en-US" w:eastAsia="zh-CN"/>
        </w:rPr>
        <w:t>武术地毯采购招标公告</w:t>
      </w:r>
    </w:p>
    <w:p>
      <w:pPr>
        <w:spacing w:line="360" w:lineRule="auto"/>
        <w:rPr>
          <w:sz w:val="28"/>
          <w:szCs w:val="28"/>
        </w:rPr>
      </w:pPr>
      <w:r>
        <w:rPr>
          <w:rFonts w:hint="eastAsia"/>
          <w:sz w:val="28"/>
          <w:szCs w:val="28"/>
        </w:rPr>
        <w:t>各</w:t>
      </w:r>
      <w:r>
        <w:rPr>
          <w:rFonts w:hint="eastAsia"/>
          <w:sz w:val="28"/>
          <w:szCs w:val="28"/>
          <w:lang w:eastAsia="zh-CN"/>
        </w:rPr>
        <w:t>供应商</w:t>
      </w:r>
      <w:r>
        <w:rPr>
          <w:rFonts w:hint="eastAsia"/>
          <w:sz w:val="28"/>
          <w:szCs w:val="28"/>
        </w:rPr>
        <w:t>：</w:t>
      </w:r>
    </w:p>
    <w:p>
      <w:pPr>
        <w:spacing w:line="360" w:lineRule="auto"/>
        <w:ind w:firstLine="420"/>
        <w:rPr>
          <w:sz w:val="28"/>
          <w:szCs w:val="28"/>
        </w:rPr>
      </w:pPr>
      <w:r>
        <w:rPr>
          <w:rFonts w:hint="eastAsia"/>
          <w:sz w:val="28"/>
          <w:szCs w:val="28"/>
        </w:rPr>
        <w:t>我校现拟通过</w:t>
      </w:r>
      <w:r>
        <w:rPr>
          <w:rFonts w:hint="eastAsia"/>
          <w:sz w:val="28"/>
          <w:szCs w:val="28"/>
          <w:lang w:eastAsia="zh-CN"/>
        </w:rPr>
        <w:t>公开招标方式采购一批</w:t>
      </w:r>
      <w:r>
        <w:rPr>
          <w:rFonts w:hint="eastAsia"/>
          <w:sz w:val="28"/>
          <w:szCs w:val="28"/>
          <w:lang w:val="en-US" w:eastAsia="zh-CN"/>
        </w:rPr>
        <w:t>武术地毯</w:t>
      </w:r>
      <w:r>
        <w:rPr>
          <w:rFonts w:hint="eastAsia"/>
          <w:sz w:val="28"/>
          <w:szCs w:val="28"/>
          <w:lang w:eastAsia="zh-CN"/>
        </w:rPr>
        <w:t>。</w:t>
      </w:r>
      <w:r>
        <w:rPr>
          <w:rFonts w:hint="eastAsia"/>
          <w:sz w:val="28"/>
          <w:szCs w:val="28"/>
        </w:rPr>
        <w:t>欢迎符合要求的单位予以投标，并请</w:t>
      </w:r>
      <w:r>
        <w:rPr>
          <w:rFonts w:hint="eastAsia"/>
          <w:color w:val="auto"/>
          <w:sz w:val="28"/>
          <w:szCs w:val="28"/>
          <w:shd w:val="clear" w:color="auto" w:fill="auto"/>
        </w:rPr>
        <w:t>于</w:t>
      </w:r>
      <w:r>
        <w:rPr>
          <w:rFonts w:hint="eastAsia"/>
          <w:color w:val="auto"/>
          <w:sz w:val="28"/>
          <w:szCs w:val="28"/>
          <w:highlight w:val="none"/>
          <w:shd w:val="clear" w:color="auto" w:fill="auto"/>
        </w:rPr>
        <w:t>202</w:t>
      </w:r>
      <w:r>
        <w:rPr>
          <w:rFonts w:hint="eastAsia"/>
          <w:color w:val="auto"/>
          <w:sz w:val="28"/>
          <w:szCs w:val="28"/>
          <w:highlight w:val="none"/>
          <w:shd w:val="clear" w:color="auto" w:fill="auto"/>
          <w:lang w:val="en-US" w:eastAsia="zh-CN"/>
        </w:rPr>
        <w:t>5</w:t>
      </w:r>
      <w:r>
        <w:rPr>
          <w:rFonts w:hint="eastAsia"/>
          <w:color w:val="auto"/>
          <w:sz w:val="28"/>
          <w:szCs w:val="28"/>
          <w:highlight w:val="none"/>
          <w:shd w:val="clear" w:color="auto" w:fill="auto"/>
        </w:rPr>
        <w:t>年</w:t>
      </w:r>
      <w:r>
        <w:rPr>
          <w:rFonts w:hint="eastAsia"/>
          <w:color w:val="auto"/>
          <w:sz w:val="28"/>
          <w:szCs w:val="28"/>
          <w:highlight w:val="none"/>
          <w:shd w:val="clear" w:color="auto" w:fill="auto"/>
          <w:lang w:val="en-US" w:eastAsia="zh-CN"/>
        </w:rPr>
        <w:t>12</w:t>
      </w:r>
      <w:r>
        <w:rPr>
          <w:rFonts w:hint="eastAsia"/>
          <w:color w:val="auto"/>
          <w:sz w:val="28"/>
          <w:szCs w:val="28"/>
          <w:highlight w:val="none"/>
          <w:shd w:val="clear" w:color="auto" w:fill="auto"/>
        </w:rPr>
        <w:t>月</w:t>
      </w:r>
      <w:r>
        <w:rPr>
          <w:rFonts w:hint="eastAsia"/>
          <w:color w:val="auto"/>
          <w:sz w:val="28"/>
          <w:szCs w:val="28"/>
          <w:highlight w:val="none"/>
          <w:shd w:val="clear" w:color="auto" w:fill="auto"/>
          <w:lang w:val="en-US" w:eastAsia="zh-CN"/>
        </w:rPr>
        <w:t>5</w:t>
      </w:r>
      <w:r>
        <w:rPr>
          <w:rFonts w:hint="eastAsia"/>
          <w:color w:val="auto"/>
          <w:sz w:val="28"/>
          <w:szCs w:val="28"/>
          <w:highlight w:val="none"/>
          <w:shd w:val="clear" w:color="auto" w:fill="auto"/>
        </w:rPr>
        <w:t>日1</w:t>
      </w:r>
      <w:r>
        <w:rPr>
          <w:rFonts w:hint="eastAsia"/>
          <w:color w:val="auto"/>
          <w:sz w:val="28"/>
          <w:szCs w:val="28"/>
          <w:highlight w:val="none"/>
          <w:shd w:val="clear" w:color="auto" w:fill="auto"/>
          <w:lang w:val="en-US" w:eastAsia="zh-CN"/>
        </w:rPr>
        <w:t>2</w:t>
      </w:r>
      <w:r>
        <w:rPr>
          <w:rFonts w:hint="eastAsia"/>
          <w:color w:val="auto"/>
          <w:sz w:val="28"/>
          <w:szCs w:val="28"/>
          <w:highlight w:val="none"/>
          <w:shd w:val="clear" w:color="auto" w:fill="auto"/>
        </w:rPr>
        <w:t>:00</w:t>
      </w:r>
      <w:r>
        <w:rPr>
          <w:rFonts w:hint="eastAsia"/>
          <w:sz w:val="28"/>
          <w:szCs w:val="28"/>
        </w:rPr>
        <w:t>点前将比选响应文件送至我校服务中心。</w:t>
      </w:r>
    </w:p>
    <w:p>
      <w:pPr>
        <w:spacing w:line="240" w:lineRule="auto"/>
        <w:ind w:firstLine="420"/>
        <w:rPr>
          <w:rFonts w:hint="eastAsia"/>
          <w:sz w:val="28"/>
          <w:szCs w:val="28"/>
          <w:lang w:val="en-US" w:eastAsia="zh-CN"/>
        </w:rPr>
      </w:pPr>
      <w:r>
        <w:rPr>
          <w:rFonts w:hint="eastAsia"/>
          <w:sz w:val="28"/>
          <w:szCs w:val="28"/>
          <w:lang w:val="en-US" w:eastAsia="zh-CN"/>
        </w:rPr>
        <w:t xml:space="preserve">一、项目情况： </w:t>
      </w:r>
    </w:p>
    <w:p>
      <w:pPr>
        <w:jc w:val="both"/>
        <w:rPr>
          <w:rFonts w:hint="eastAsia"/>
          <w:sz w:val="28"/>
          <w:szCs w:val="28"/>
          <w:u w:val="single"/>
          <w:lang w:val="en-US" w:eastAsia="zh-CN"/>
        </w:rPr>
      </w:pPr>
      <w:r>
        <w:rPr>
          <w:rFonts w:hint="eastAsia"/>
          <w:sz w:val="28"/>
          <w:szCs w:val="28"/>
          <w:lang w:val="en-US" w:eastAsia="zh-CN"/>
        </w:rPr>
        <w:t>项目名称：</w:t>
      </w:r>
      <w:r>
        <w:rPr>
          <w:rFonts w:hint="eastAsia"/>
          <w:sz w:val="28"/>
          <w:szCs w:val="28"/>
          <w:u w:val="single"/>
          <w:lang w:val="en-US" w:eastAsia="zh-CN"/>
        </w:rPr>
        <w:t>成都市泡桐树小学（天府校区）武术地毯采购</w:t>
      </w:r>
    </w:p>
    <w:p>
      <w:pPr>
        <w:numPr>
          <w:ilvl w:val="0"/>
          <w:numId w:val="1"/>
        </w:numPr>
        <w:spacing w:line="240" w:lineRule="auto"/>
        <w:ind w:left="425" w:leftChars="0" w:hanging="425" w:firstLineChars="0"/>
        <w:rPr>
          <w:rFonts w:hint="eastAsia"/>
          <w:sz w:val="28"/>
          <w:szCs w:val="28"/>
          <w:lang w:val="en-US" w:eastAsia="zh-CN"/>
        </w:rPr>
      </w:pPr>
      <w:r>
        <w:rPr>
          <w:rFonts w:hint="eastAsia"/>
          <w:sz w:val="28"/>
          <w:szCs w:val="28"/>
          <w:lang w:val="en-US" w:eastAsia="zh-CN"/>
        </w:rPr>
        <w:t>项目预算：¥51750.00元；</w:t>
      </w:r>
    </w:p>
    <w:p>
      <w:pPr>
        <w:numPr>
          <w:ilvl w:val="0"/>
          <w:numId w:val="1"/>
        </w:numPr>
        <w:spacing w:line="240" w:lineRule="auto"/>
        <w:ind w:left="425" w:leftChars="0" w:hanging="425" w:firstLineChars="0"/>
        <w:rPr>
          <w:rFonts w:hint="eastAsia"/>
          <w:sz w:val="28"/>
          <w:szCs w:val="28"/>
          <w:lang w:val="en-US" w:eastAsia="zh-CN"/>
        </w:rPr>
      </w:pPr>
      <w:r>
        <w:rPr>
          <w:rFonts w:hint="eastAsia"/>
          <w:sz w:val="28"/>
          <w:szCs w:val="28"/>
          <w:lang w:val="en-US" w:eastAsia="zh-CN"/>
        </w:rPr>
        <w:t>采购明细：</w:t>
      </w:r>
    </w:p>
    <w:tbl>
      <w:tblPr>
        <w:tblStyle w:val="8"/>
        <w:tblW w:w="4951" w:type="pct"/>
        <w:tblInd w:w="0" w:type="dxa"/>
        <w:tblLayout w:type="fixed"/>
        <w:tblCellMar>
          <w:top w:w="0" w:type="dxa"/>
          <w:left w:w="108" w:type="dxa"/>
          <w:bottom w:w="0" w:type="dxa"/>
          <w:right w:w="108" w:type="dxa"/>
        </w:tblCellMar>
      </w:tblPr>
      <w:tblGrid>
        <w:gridCol w:w="539"/>
        <w:gridCol w:w="1180"/>
        <w:gridCol w:w="1104"/>
        <w:gridCol w:w="595"/>
        <w:gridCol w:w="595"/>
        <w:gridCol w:w="816"/>
        <w:gridCol w:w="872"/>
        <w:gridCol w:w="2738"/>
      </w:tblGrid>
      <w:tr>
        <w:tblPrEx>
          <w:tblCellMar>
            <w:top w:w="0" w:type="dxa"/>
            <w:left w:w="108" w:type="dxa"/>
            <w:bottom w:w="0" w:type="dxa"/>
            <w:right w:w="108" w:type="dxa"/>
          </w:tblCellMar>
        </w:tblPrEx>
        <w:trPr>
          <w:trHeight w:val="270" w:hRule="atLeast"/>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rPr>
              <w:t>序号</w:t>
            </w:r>
          </w:p>
        </w:tc>
        <w:tc>
          <w:tcPr>
            <w:tcW w:w="69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rPr>
              <w:t>器材名称</w:t>
            </w:r>
          </w:p>
        </w:tc>
        <w:tc>
          <w:tcPr>
            <w:tcW w:w="65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rPr>
              <w:t>规格</w:t>
            </w:r>
          </w:p>
        </w:tc>
        <w:tc>
          <w:tcPr>
            <w:tcW w:w="3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rPr>
              <w:t>数量</w:t>
            </w:r>
          </w:p>
        </w:tc>
        <w:tc>
          <w:tcPr>
            <w:tcW w:w="3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lang w:val="en-US" w:eastAsia="zh-CN"/>
              </w:rPr>
              <w:t>单位</w:t>
            </w:r>
          </w:p>
        </w:tc>
        <w:tc>
          <w:tcPr>
            <w:tcW w:w="4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lang w:val="en-US" w:eastAsia="zh-CN"/>
              </w:rPr>
              <w:t>预算</w:t>
            </w:r>
            <w:r>
              <w:rPr>
                <w:rFonts w:hint="eastAsia" w:cs="宋体" w:asciiTheme="minorEastAsia" w:hAnsiTheme="minorEastAsia"/>
                <w:b w:val="0"/>
                <w:bCs w:val="0"/>
                <w:color w:val="000000"/>
                <w:kern w:val="0"/>
                <w:szCs w:val="21"/>
              </w:rPr>
              <w:t>单价（元）</w:t>
            </w:r>
          </w:p>
        </w:tc>
        <w:tc>
          <w:tcPr>
            <w:tcW w:w="5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lang w:val="en-US" w:eastAsia="zh-CN"/>
              </w:rPr>
              <w:t>小计</w:t>
            </w:r>
            <w:r>
              <w:rPr>
                <w:rFonts w:hint="eastAsia" w:cs="宋体" w:asciiTheme="minorEastAsia" w:hAnsiTheme="minorEastAsia"/>
                <w:b w:val="0"/>
                <w:bCs w:val="0"/>
                <w:color w:val="000000"/>
                <w:kern w:val="0"/>
                <w:szCs w:val="21"/>
              </w:rPr>
              <w:t>（元）</w:t>
            </w:r>
          </w:p>
        </w:tc>
        <w:tc>
          <w:tcPr>
            <w:tcW w:w="16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val="0"/>
                <w:bCs w:val="0"/>
                <w:color w:val="000000"/>
                <w:kern w:val="0"/>
                <w:szCs w:val="21"/>
                <w:lang w:val="en-US" w:eastAsia="zh-CN"/>
              </w:rPr>
            </w:pPr>
            <w:r>
              <w:rPr>
                <w:rFonts w:hint="eastAsia" w:cs="宋体" w:asciiTheme="minorEastAsia" w:hAnsiTheme="minorEastAsia"/>
                <w:b w:val="0"/>
                <w:bCs w:val="0"/>
                <w:color w:val="000000"/>
                <w:kern w:val="0"/>
                <w:szCs w:val="21"/>
                <w:lang w:val="en-US" w:eastAsia="zh-CN"/>
              </w:rPr>
              <w:t>材质要求</w:t>
            </w:r>
          </w:p>
        </w:tc>
      </w:tr>
      <w:tr>
        <w:tblPrEx>
          <w:tblCellMar>
            <w:top w:w="0" w:type="dxa"/>
            <w:left w:w="108" w:type="dxa"/>
            <w:bottom w:w="0" w:type="dxa"/>
            <w:right w:w="108" w:type="dxa"/>
          </w:tblCellMar>
        </w:tblPrEx>
        <w:trPr>
          <w:trHeight w:val="873"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both"/>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1</w:t>
            </w:r>
          </w:p>
        </w:tc>
        <w:tc>
          <w:tcPr>
            <w:tcW w:w="699" w:type="pct"/>
            <w:tcBorders>
              <w:top w:val="nil"/>
              <w:left w:val="nil"/>
              <w:bottom w:val="single" w:color="auto" w:sz="4" w:space="0"/>
              <w:right w:val="single" w:color="auto" w:sz="4" w:space="0"/>
            </w:tcBorders>
            <w:shd w:val="clear" w:color="auto" w:fill="auto"/>
            <w:vAlign w:val="center"/>
          </w:tcPr>
          <w:p>
            <w:pPr>
              <w:widowControl/>
              <w:jc w:val="both"/>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武术地毯</w:t>
            </w: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7.5*16米</w:t>
            </w:r>
          </w:p>
          <w:p>
            <w:pPr>
              <w:widowControl/>
              <w:jc w:val="center"/>
              <w:rPr>
                <w:rFonts w:hint="default" w:cs="宋体" w:asciiTheme="minorEastAsia" w:hAnsiTheme="minorEastAsia"/>
                <w:color w:val="000000"/>
                <w:kern w:val="0"/>
                <w:szCs w:val="21"/>
                <w:lang w:val="en-US" w:eastAsia="zh-CN"/>
              </w:rPr>
            </w:pPr>
          </w:p>
        </w:tc>
        <w:tc>
          <w:tcPr>
            <w:tcW w:w="352"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120</w:t>
            </w:r>
          </w:p>
        </w:tc>
        <w:tc>
          <w:tcPr>
            <w:tcW w:w="352"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w:t>
            </w:r>
          </w:p>
        </w:tc>
        <w:tc>
          <w:tcPr>
            <w:tcW w:w="483"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230</w:t>
            </w:r>
          </w:p>
        </w:tc>
        <w:tc>
          <w:tcPr>
            <w:tcW w:w="516"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27600</w:t>
            </w:r>
          </w:p>
        </w:tc>
        <w:tc>
          <w:tcPr>
            <w:tcW w:w="1622" w:type="pct"/>
            <w:vMerge w:val="restart"/>
            <w:tcBorders>
              <w:top w:val="nil"/>
              <w:left w:val="nil"/>
              <w:right w:val="single" w:color="auto" w:sz="4" w:space="0"/>
            </w:tcBorders>
            <w:shd w:val="clear" w:color="auto" w:fill="auto"/>
            <w:vAlign w:val="center"/>
          </w:tcPr>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地毯面层材质：尼龙</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绒重量：1600克/㎡</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针距：每英寸14针</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绒高：0.8cm</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底部材质：加密麻丝</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毯面封边材：尼龙</w:t>
            </w:r>
          </w:p>
          <w:p>
            <w:pPr>
              <w:widowControl/>
              <w:jc w:val="both"/>
              <w:rPr>
                <w:rFonts w:hint="eastAsia" w:cs="宋体" w:asciiTheme="minorEastAsia" w:hAnsiTheme="minorEastAsia"/>
                <w:color w:val="000000"/>
                <w:kern w:val="0"/>
                <w:szCs w:val="21"/>
                <w:lang w:val="en-US" w:eastAsia="zh-CN"/>
              </w:rPr>
            </w:pPr>
          </w:p>
        </w:tc>
      </w:tr>
      <w:tr>
        <w:tblPrEx>
          <w:tblCellMar>
            <w:top w:w="0" w:type="dxa"/>
            <w:left w:w="108" w:type="dxa"/>
            <w:bottom w:w="0" w:type="dxa"/>
            <w:right w:w="108" w:type="dxa"/>
          </w:tblCellMar>
        </w:tblPrEx>
        <w:trPr>
          <w:trHeight w:val="873"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both"/>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2</w:t>
            </w:r>
          </w:p>
        </w:tc>
        <w:tc>
          <w:tcPr>
            <w:tcW w:w="699" w:type="pct"/>
            <w:tcBorders>
              <w:top w:val="nil"/>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武术地毯</w:t>
            </w: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7.5*14米</w:t>
            </w:r>
          </w:p>
        </w:tc>
        <w:tc>
          <w:tcPr>
            <w:tcW w:w="352"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105</w:t>
            </w:r>
          </w:p>
        </w:tc>
        <w:tc>
          <w:tcPr>
            <w:tcW w:w="352"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w:t>
            </w:r>
          </w:p>
        </w:tc>
        <w:tc>
          <w:tcPr>
            <w:tcW w:w="483"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230</w:t>
            </w:r>
          </w:p>
        </w:tc>
        <w:tc>
          <w:tcPr>
            <w:tcW w:w="516"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24150</w:t>
            </w:r>
          </w:p>
        </w:tc>
        <w:tc>
          <w:tcPr>
            <w:tcW w:w="1622" w:type="pct"/>
            <w:vMerge w:val="continue"/>
            <w:tcBorders>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kern w:val="0"/>
                <w:szCs w:val="21"/>
                <w:lang w:val="en-US" w:eastAsia="zh-CN"/>
              </w:rPr>
            </w:pPr>
          </w:p>
        </w:tc>
      </w:tr>
      <w:tr>
        <w:tblPrEx>
          <w:tblCellMar>
            <w:top w:w="0" w:type="dxa"/>
            <w:left w:w="108" w:type="dxa"/>
            <w:bottom w:w="0" w:type="dxa"/>
            <w:right w:w="108" w:type="dxa"/>
          </w:tblCellMar>
        </w:tblPrEx>
        <w:trPr>
          <w:trHeight w:val="270" w:hRule="atLeast"/>
        </w:trPr>
        <w:tc>
          <w:tcPr>
            <w:tcW w:w="2861" w:type="pct"/>
            <w:gridSpan w:val="6"/>
            <w:tcBorders>
              <w:top w:val="nil"/>
              <w:left w:val="single" w:color="auto" w:sz="4" w:space="0"/>
              <w:bottom w:val="single" w:color="auto" w:sz="4" w:space="0"/>
              <w:right w:val="single" w:color="000000"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2"/>
                <w:lang w:val="en-US" w:eastAsia="zh-CN"/>
              </w:rPr>
            </w:pPr>
            <w:r>
              <w:rPr>
                <w:rFonts w:hint="eastAsia" w:cs="宋体" w:asciiTheme="minorEastAsia" w:hAnsiTheme="minorEastAsia"/>
                <w:color w:val="000000"/>
                <w:kern w:val="0"/>
                <w:sz w:val="22"/>
                <w:lang w:val="en-US" w:eastAsia="zh-CN"/>
              </w:rPr>
              <w:t>合计</w:t>
            </w:r>
          </w:p>
        </w:tc>
        <w:tc>
          <w:tcPr>
            <w:tcW w:w="213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51750元</w:t>
            </w:r>
          </w:p>
        </w:tc>
      </w:tr>
    </w:tbl>
    <w:p>
      <w:pPr>
        <w:spacing w:line="240" w:lineRule="auto"/>
        <w:ind w:firstLine="420"/>
        <w:rPr>
          <w:rFonts w:hint="eastAsia"/>
          <w:sz w:val="28"/>
          <w:szCs w:val="28"/>
          <w:lang w:val="en-US" w:eastAsia="zh-CN"/>
        </w:rPr>
      </w:pPr>
      <w:r>
        <w:rPr>
          <w:rFonts w:hint="eastAsia"/>
          <w:sz w:val="28"/>
          <w:szCs w:val="28"/>
          <w:lang w:val="en-US" w:eastAsia="zh-CN"/>
        </w:rPr>
        <w:t>二、注意事项：</w:t>
      </w:r>
    </w:p>
    <w:p>
      <w:pPr>
        <w:spacing w:line="240" w:lineRule="auto"/>
        <w:ind w:firstLine="420"/>
        <w:rPr>
          <w:rFonts w:hint="eastAsia"/>
          <w:sz w:val="28"/>
          <w:szCs w:val="28"/>
          <w:lang w:val="en-US" w:eastAsia="zh-CN"/>
        </w:rPr>
      </w:pPr>
      <w:r>
        <w:rPr>
          <w:rFonts w:hint="eastAsia"/>
          <w:sz w:val="28"/>
          <w:szCs w:val="28"/>
          <w:lang w:val="en-US" w:eastAsia="zh-CN"/>
        </w:rPr>
        <w:t>1.受邀单位须满足《政府采购法》第二十二条相关资质要求。</w:t>
      </w:r>
    </w:p>
    <w:p>
      <w:pPr>
        <w:pStyle w:val="2"/>
        <w:rPr>
          <w:rFonts w:hint="default"/>
          <w:lang w:val="en-US" w:eastAsia="zh-CN"/>
        </w:rPr>
      </w:pPr>
      <w:r>
        <w:rPr>
          <w:rFonts w:hint="eastAsia"/>
          <w:sz w:val="28"/>
          <w:szCs w:val="28"/>
          <w:lang w:val="en-US" w:eastAsia="zh-CN"/>
        </w:rPr>
        <w:t xml:space="preserve">   </w:t>
      </w:r>
      <w:r>
        <w:rPr>
          <w:rFonts w:hint="eastAsia" w:asciiTheme="minorHAnsi" w:hAnsiTheme="minorHAnsi" w:eastAsiaTheme="minorEastAsia" w:cstheme="minorBidi"/>
          <w:kern w:val="2"/>
          <w:sz w:val="28"/>
          <w:szCs w:val="28"/>
          <w:lang w:val="en-US" w:eastAsia="zh-CN" w:bidi="ar-SA"/>
        </w:rPr>
        <w:t>2.样品要求</w:t>
      </w:r>
      <w:r>
        <w:rPr>
          <w:rFonts w:hint="default" w:asciiTheme="minorHAnsi" w:hAnsiTheme="minorHAnsi" w:eastAsiaTheme="minorEastAsia" w:cstheme="minorBidi"/>
          <w:kern w:val="2"/>
          <w:sz w:val="28"/>
          <w:szCs w:val="28"/>
          <w:lang w:val="en-US" w:eastAsia="zh-CN" w:bidi="ar-SA"/>
        </w:rPr>
        <w:t>：投标人须随投标文件一并提供与投标产品同材同质的武术地毯样品一块，规格不小于40cm × 40cm。样品应妥善封装，外包装清晰标记投标单位名称。所有提交的样品不予退还，中标单位样品将作为项目履约验收的参考依据之一。</w:t>
      </w:r>
    </w:p>
    <w:p>
      <w:pPr>
        <w:spacing w:line="240" w:lineRule="auto"/>
        <w:ind w:firstLine="420"/>
        <w:rPr>
          <w:rFonts w:hint="eastAsia"/>
          <w:sz w:val="28"/>
          <w:szCs w:val="28"/>
          <w:lang w:val="en-US" w:eastAsia="zh-CN"/>
        </w:rPr>
      </w:pPr>
      <w:r>
        <w:rPr>
          <w:rFonts w:hint="eastAsia"/>
          <w:sz w:val="28"/>
          <w:szCs w:val="28"/>
          <w:lang w:val="en-US" w:eastAsia="zh-CN"/>
        </w:rPr>
        <w:t>3.比选文件构成：</w:t>
      </w:r>
    </w:p>
    <w:p>
      <w:pPr>
        <w:spacing w:line="240" w:lineRule="auto"/>
        <w:ind w:firstLine="420"/>
        <w:rPr>
          <w:rFonts w:hint="eastAsia"/>
          <w:sz w:val="28"/>
          <w:szCs w:val="28"/>
          <w:lang w:val="en-US" w:eastAsia="zh-CN"/>
        </w:rPr>
      </w:pPr>
      <w:r>
        <w:rPr>
          <w:rFonts w:hint="eastAsia"/>
          <w:sz w:val="28"/>
          <w:szCs w:val="28"/>
          <w:lang w:val="en-US" w:eastAsia="zh-CN"/>
        </w:rPr>
        <w:t>3.1资格审查：投标人需提供下述资料，否则视为无效投标。</w:t>
      </w:r>
    </w:p>
    <w:p>
      <w:pPr>
        <w:spacing w:line="240" w:lineRule="auto"/>
        <w:ind w:firstLine="420"/>
        <w:rPr>
          <w:rFonts w:hint="eastAsia"/>
          <w:sz w:val="28"/>
          <w:szCs w:val="28"/>
          <w:lang w:val="en-US" w:eastAsia="zh-CN"/>
        </w:rPr>
      </w:pPr>
      <w:r>
        <w:rPr>
          <w:rFonts w:hint="eastAsia"/>
          <w:sz w:val="28"/>
          <w:szCs w:val="28"/>
          <w:lang w:val="en-US" w:eastAsia="zh-CN"/>
        </w:rPr>
        <w:t>3.1.1工商营业执照复印件</w:t>
      </w:r>
    </w:p>
    <w:p>
      <w:pPr>
        <w:spacing w:line="240" w:lineRule="auto"/>
        <w:ind w:firstLine="420"/>
        <w:rPr>
          <w:rFonts w:hint="eastAsia"/>
          <w:sz w:val="28"/>
          <w:szCs w:val="28"/>
          <w:lang w:val="en-US" w:eastAsia="zh-CN"/>
        </w:rPr>
      </w:pPr>
      <w:r>
        <w:rPr>
          <w:rFonts w:hint="eastAsia"/>
          <w:sz w:val="28"/>
          <w:szCs w:val="28"/>
          <w:lang w:val="en-US" w:eastAsia="zh-CN"/>
        </w:rPr>
        <w:t>3.1.2法人身份证复印件（若另有经办人，需提供授权书及被授权书的身份证复印件）</w:t>
      </w:r>
    </w:p>
    <w:p>
      <w:pPr>
        <w:spacing w:line="240" w:lineRule="auto"/>
        <w:ind w:firstLine="420"/>
        <w:rPr>
          <w:rFonts w:hint="eastAsia"/>
          <w:sz w:val="28"/>
          <w:szCs w:val="28"/>
          <w:lang w:val="en-US" w:eastAsia="zh-CN"/>
        </w:rPr>
      </w:pPr>
      <w:r>
        <w:rPr>
          <w:rFonts w:hint="eastAsia"/>
          <w:sz w:val="28"/>
          <w:szCs w:val="28"/>
          <w:lang w:val="en-US" w:eastAsia="zh-CN"/>
        </w:rPr>
        <w:t>3.1.3企业信用信息页（需含“营业执照信息、股东信息、主要人员信息”等，可在http://www.gsxt.gov.cn/index.html网址查询打印）</w:t>
      </w:r>
    </w:p>
    <w:p>
      <w:pPr>
        <w:spacing w:line="240" w:lineRule="auto"/>
        <w:ind w:firstLine="420"/>
        <w:rPr>
          <w:rFonts w:hint="eastAsia"/>
          <w:sz w:val="28"/>
          <w:szCs w:val="28"/>
          <w:lang w:val="en-US" w:eastAsia="zh-CN"/>
        </w:rPr>
      </w:pPr>
      <w:r>
        <w:rPr>
          <w:rFonts w:hint="eastAsia"/>
          <w:sz w:val="28"/>
          <w:szCs w:val="28"/>
          <w:lang w:val="en-US" w:eastAsia="zh-CN"/>
        </w:rPr>
        <w:t>3.1.4报价单（见附件一）</w:t>
      </w:r>
    </w:p>
    <w:p>
      <w:pPr>
        <w:pStyle w:val="2"/>
        <w:rPr>
          <w:rFonts w:hint="default"/>
          <w:lang w:val="en-US" w:eastAsia="zh-CN"/>
        </w:rPr>
      </w:pPr>
      <w:r>
        <w:rPr>
          <w:rFonts w:hint="eastAsia"/>
          <w:sz w:val="28"/>
          <w:szCs w:val="28"/>
          <w:lang w:val="en-US" w:eastAsia="zh-CN"/>
        </w:rPr>
        <w:t>以上资料均需加盖鲜章，均须密封，并在封口处加盖公司公章。</w:t>
      </w:r>
    </w:p>
    <w:p>
      <w:pPr>
        <w:numPr>
          <w:ilvl w:val="0"/>
          <w:numId w:val="2"/>
        </w:numPr>
        <w:spacing w:line="240" w:lineRule="auto"/>
        <w:ind w:firstLine="420"/>
        <w:rPr>
          <w:rFonts w:hint="eastAsia"/>
          <w:lang w:val="en-US" w:eastAsia="zh-CN"/>
        </w:rPr>
      </w:pPr>
      <w:r>
        <w:rPr>
          <w:rFonts w:hint="eastAsia"/>
          <w:sz w:val="28"/>
          <w:szCs w:val="28"/>
          <w:lang w:val="en-US" w:eastAsia="zh-CN"/>
        </w:rPr>
        <w:t>评分办法</w:t>
      </w:r>
    </w:p>
    <w:tbl>
      <w:tblPr>
        <w:tblStyle w:val="8"/>
        <w:tblpPr w:leftFromText="180" w:rightFromText="180" w:vertAnchor="text" w:horzAnchor="page" w:tblpX="1472" w:tblpY="285"/>
        <w:tblOverlap w:val="never"/>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306"/>
        <w:gridCol w:w="649"/>
        <w:gridCol w:w="5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6" w:type="pct"/>
            <w:vAlign w:val="center"/>
          </w:tcPr>
          <w:p>
            <w:pPr>
              <w:spacing w:line="240" w:lineRule="auto"/>
              <w:jc w:val="center"/>
              <w:rPr>
                <w:rFonts w:hint="eastAsia"/>
                <w:sz w:val="24"/>
                <w:szCs w:val="24"/>
                <w:lang w:val="en-US" w:eastAsia="zh-CN"/>
              </w:rPr>
            </w:pPr>
            <w:r>
              <w:rPr>
                <w:rFonts w:hint="eastAsia"/>
                <w:sz w:val="24"/>
                <w:szCs w:val="24"/>
                <w:lang w:val="en-US" w:eastAsia="zh-CN"/>
              </w:rPr>
              <w:t>序号</w:t>
            </w:r>
          </w:p>
        </w:tc>
        <w:tc>
          <w:tcPr>
            <w:tcW w:w="767" w:type="pct"/>
            <w:vAlign w:val="center"/>
          </w:tcPr>
          <w:p>
            <w:pPr>
              <w:spacing w:line="240" w:lineRule="auto"/>
              <w:jc w:val="center"/>
              <w:rPr>
                <w:rFonts w:hint="eastAsia"/>
                <w:sz w:val="24"/>
                <w:szCs w:val="24"/>
                <w:lang w:val="en-US" w:eastAsia="zh-CN"/>
              </w:rPr>
            </w:pPr>
            <w:r>
              <w:rPr>
                <w:rFonts w:hint="eastAsia"/>
                <w:sz w:val="24"/>
                <w:szCs w:val="24"/>
                <w:lang w:val="en-US" w:eastAsia="zh-CN"/>
              </w:rPr>
              <w:t>评分因素 及权重</w:t>
            </w:r>
          </w:p>
        </w:tc>
        <w:tc>
          <w:tcPr>
            <w:tcW w:w="381" w:type="pct"/>
            <w:vAlign w:val="center"/>
          </w:tcPr>
          <w:p>
            <w:pPr>
              <w:spacing w:line="240" w:lineRule="auto"/>
              <w:jc w:val="center"/>
              <w:rPr>
                <w:rFonts w:hint="eastAsia"/>
                <w:sz w:val="24"/>
                <w:szCs w:val="24"/>
                <w:lang w:val="en-US" w:eastAsia="zh-CN"/>
              </w:rPr>
            </w:pPr>
            <w:r>
              <w:rPr>
                <w:rFonts w:hint="eastAsia"/>
                <w:sz w:val="24"/>
                <w:szCs w:val="24"/>
                <w:lang w:val="en-US" w:eastAsia="zh-CN"/>
              </w:rPr>
              <w:t>分值</w:t>
            </w:r>
          </w:p>
        </w:tc>
        <w:tc>
          <w:tcPr>
            <w:tcW w:w="3354" w:type="pct"/>
            <w:vAlign w:val="center"/>
          </w:tcPr>
          <w:p>
            <w:pPr>
              <w:spacing w:line="240" w:lineRule="auto"/>
              <w:ind w:firstLine="420"/>
              <w:jc w:val="center"/>
              <w:rPr>
                <w:rFonts w:hint="eastAsia"/>
                <w:sz w:val="24"/>
                <w:szCs w:val="24"/>
                <w:lang w:val="en-US" w:eastAsia="zh-CN"/>
              </w:rPr>
            </w:pPr>
            <w:r>
              <w:rPr>
                <w:rFonts w:hint="eastAsia"/>
                <w:sz w:val="24"/>
                <w:szCs w:val="24"/>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pPr>
              <w:spacing w:line="240" w:lineRule="auto"/>
              <w:ind w:firstLine="420"/>
              <w:rPr>
                <w:rFonts w:hint="eastAsia"/>
                <w:sz w:val="24"/>
                <w:szCs w:val="24"/>
                <w:lang w:val="en-US" w:eastAsia="zh-CN"/>
              </w:rPr>
            </w:pPr>
            <w:r>
              <w:rPr>
                <w:rFonts w:hint="eastAsia"/>
                <w:sz w:val="24"/>
                <w:szCs w:val="24"/>
                <w:lang w:val="en-US" w:eastAsia="zh-CN"/>
              </w:rPr>
              <w:t>1</w:t>
            </w:r>
          </w:p>
        </w:tc>
        <w:tc>
          <w:tcPr>
            <w:tcW w:w="767" w:type="pct"/>
            <w:vAlign w:val="center"/>
          </w:tcPr>
          <w:p>
            <w:pPr>
              <w:spacing w:line="240" w:lineRule="auto"/>
              <w:jc w:val="center"/>
              <w:rPr>
                <w:rFonts w:hint="eastAsia"/>
                <w:sz w:val="24"/>
                <w:szCs w:val="24"/>
                <w:lang w:val="en-US" w:eastAsia="zh-CN"/>
              </w:rPr>
            </w:pPr>
            <w:r>
              <w:rPr>
                <w:rFonts w:hint="eastAsia"/>
                <w:sz w:val="24"/>
                <w:szCs w:val="24"/>
                <w:lang w:val="en-US" w:eastAsia="zh-CN"/>
              </w:rPr>
              <w:t>响应报价50%</w:t>
            </w:r>
          </w:p>
        </w:tc>
        <w:tc>
          <w:tcPr>
            <w:tcW w:w="381" w:type="pct"/>
            <w:vAlign w:val="center"/>
          </w:tcPr>
          <w:p>
            <w:pPr>
              <w:spacing w:line="240" w:lineRule="auto"/>
              <w:jc w:val="center"/>
              <w:rPr>
                <w:rFonts w:hint="eastAsia"/>
                <w:sz w:val="24"/>
                <w:szCs w:val="24"/>
                <w:lang w:val="en-US" w:eastAsia="zh-CN"/>
              </w:rPr>
            </w:pPr>
            <w:r>
              <w:rPr>
                <w:rFonts w:hint="eastAsia"/>
                <w:sz w:val="24"/>
                <w:szCs w:val="24"/>
                <w:lang w:val="en-US" w:eastAsia="zh-CN"/>
              </w:rPr>
              <w:t>50分</w:t>
            </w:r>
          </w:p>
        </w:tc>
        <w:tc>
          <w:tcPr>
            <w:tcW w:w="3354" w:type="pct"/>
            <w:vAlign w:val="center"/>
          </w:tcPr>
          <w:p>
            <w:pPr>
              <w:spacing w:line="240" w:lineRule="auto"/>
              <w:ind w:firstLine="420"/>
              <w:rPr>
                <w:rFonts w:hint="eastAsia"/>
                <w:sz w:val="24"/>
                <w:szCs w:val="24"/>
                <w:lang w:val="en-US" w:eastAsia="zh-CN"/>
              </w:rPr>
            </w:pPr>
            <w:r>
              <w:rPr>
                <w:rFonts w:hint="eastAsia"/>
                <w:sz w:val="24"/>
                <w:szCs w:val="24"/>
                <w:lang w:val="en-US" w:eastAsia="zh-CN"/>
              </w:rPr>
              <w:t>满足比选文件要求且响应价格最低的比选报价为评审基准价，其价格分为满分。其他比选申请人的价格分统一按照下列公式计算：报价得分=(评审基准价／比选报价)*50分。报价单模板见附件二。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96" w:type="pct"/>
            <w:vAlign w:val="center"/>
          </w:tcPr>
          <w:p>
            <w:pPr>
              <w:spacing w:line="240" w:lineRule="auto"/>
              <w:ind w:firstLine="420"/>
              <w:rPr>
                <w:rFonts w:hint="default"/>
                <w:sz w:val="24"/>
                <w:szCs w:val="24"/>
                <w:lang w:val="en-US" w:eastAsia="zh-CN"/>
              </w:rPr>
            </w:pPr>
            <w:r>
              <w:rPr>
                <w:rFonts w:hint="eastAsia"/>
                <w:sz w:val="24"/>
                <w:szCs w:val="24"/>
                <w:lang w:val="en-US" w:eastAsia="zh-CN"/>
              </w:rPr>
              <w:t>2</w:t>
            </w:r>
          </w:p>
        </w:tc>
        <w:tc>
          <w:tcPr>
            <w:tcW w:w="767" w:type="pct"/>
            <w:vAlign w:val="center"/>
          </w:tcPr>
          <w:p>
            <w:pPr>
              <w:spacing w:line="240" w:lineRule="auto"/>
              <w:jc w:val="center"/>
              <w:rPr>
                <w:rFonts w:hint="default"/>
                <w:sz w:val="24"/>
                <w:szCs w:val="24"/>
                <w:lang w:val="en-US" w:eastAsia="zh-CN"/>
              </w:rPr>
            </w:pPr>
            <w:r>
              <w:rPr>
                <w:rFonts w:hint="default"/>
                <w:sz w:val="24"/>
                <w:szCs w:val="24"/>
                <w:lang w:val="en-US" w:eastAsia="zh-CN"/>
              </w:rPr>
              <w:t>样品质量</w:t>
            </w:r>
          </w:p>
          <w:p>
            <w:pPr>
              <w:spacing w:line="240" w:lineRule="auto"/>
              <w:jc w:val="center"/>
              <w:rPr>
                <w:rFonts w:hint="default" w:eastAsia="宋体"/>
                <w:lang w:val="en-US" w:eastAsia="zh-CN"/>
              </w:rPr>
            </w:pPr>
            <w:r>
              <w:rPr>
                <w:rFonts w:hint="eastAsia"/>
                <w:sz w:val="24"/>
                <w:szCs w:val="24"/>
                <w:lang w:val="en-US" w:eastAsia="zh-CN"/>
              </w:rPr>
              <w:t>20%</w:t>
            </w:r>
          </w:p>
        </w:tc>
        <w:tc>
          <w:tcPr>
            <w:tcW w:w="381" w:type="pct"/>
            <w:vAlign w:val="center"/>
          </w:tcPr>
          <w:p>
            <w:pPr>
              <w:spacing w:line="240" w:lineRule="auto"/>
              <w:jc w:val="center"/>
              <w:rPr>
                <w:rFonts w:hint="default"/>
                <w:sz w:val="24"/>
                <w:szCs w:val="24"/>
                <w:lang w:val="en-US" w:eastAsia="zh-CN"/>
              </w:rPr>
            </w:pPr>
            <w:r>
              <w:rPr>
                <w:rFonts w:hint="eastAsia"/>
                <w:sz w:val="24"/>
                <w:szCs w:val="24"/>
                <w:lang w:val="en-US" w:eastAsia="zh-CN"/>
              </w:rPr>
              <w:t>20分</w:t>
            </w:r>
          </w:p>
        </w:tc>
        <w:tc>
          <w:tcPr>
            <w:tcW w:w="3354" w:type="pct"/>
            <w:vAlign w:val="center"/>
          </w:tcPr>
          <w:p>
            <w:pPr>
              <w:spacing w:line="240" w:lineRule="auto"/>
              <w:ind w:firstLine="420"/>
              <w:rPr>
                <w:rFonts w:hint="eastAsia"/>
                <w:sz w:val="24"/>
                <w:szCs w:val="24"/>
                <w:lang w:val="en-US" w:eastAsia="zh-CN"/>
              </w:rPr>
            </w:pPr>
            <w:r>
              <w:rPr>
                <w:rFonts w:hint="default"/>
                <w:sz w:val="24"/>
                <w:szCs w:val="24"/>
                <w:lang w:val="en-US" w:eastAsia="zh-CN"/>
              </w:rPr>
              <w:t>优（1</w:t>
            </w:r>
            <w:r>
              <w:rPr>
                <w:rFonts w:hint="eastAsia"/>
                <w:sz w:val="24"/>
                <w:szCs w:val="24"/>
                <w:lang w:val="en-US" w:eastAsia="zh-CN"/>
              </w:rPr>
              <w:t>5</w:t>
            </w:r>
            <w:r>
              <w:rPr>
                <w:rFonts w:hint="default"/>
                <w:sz w:val="24"/>
                <w:szCs w:val="24"/>
                <w:lang w:val="en-US" w:eastAsia="zh-CN"/>
              </w:rPr>
              <w:t>-</w:t>
            </w:r>
            <w:r>
              <w:rPr>
                <w:rFonts w:hint="eastAsia"/>
                <w:sz w:val="24"/>
                <w:szCs w:val="24"/>
                <w:lang w:val="en-US" w:eastAsia="zh-CN"/>
              </w:rPr>
              <w:t>20</w:t>
            </w:r>
            <w:r>
              <w:rPr>
                <w:rFonts w:hint="default"/>
                <w:sz w:val="24"/>
                <w:szCs w:val="24"/>
                <w:lang w:val="en-US" w:eastAsia="zh-CN"/>
              </w:rPr>
              <w:t>分）： 材质上乘，手感柔软舒适；厚度均匀，密度高，回弹性好；缝线紧密平整，包边牢固，无色差瑕疵；底部防滑层设计科学，抓地力强。</w:t>
            </w:r>
            <w:r>
              <w:rPr>
                <w:rFonts w:hint="default"/>
                <w:sz w:val="24"/>
                <w:szCs w:val="24"/>
                <w:lang w:val="en-US" w:eastAsia="zh-CN"/>
              </w:rPr>
              <w:br w:type="textWrapping"/>
            </w:r>
            <w:r>
              <w:rPr>
                <w:rFonts w:hint="eastAsia"/>
                <w:sz w:val="24"/>
                <w:szCs w:val="24"/>
                <w:lang w:val="en-US" w:eastAsia="zh-CN"/>
              </w:rPr>
              <w:t xml:space="preserve">   </w:t>
            </w:r>
            <w:r>
              <w:rPr>
                <w:rFonts w:hint="default"/>
                <w:sz w:val="24"/>
                <w:szCs w:val="24"/>
                <w:lang w:val="en-US" w:eastAsia="zh-CN"/>
              </w:rPr>
              <w:t>良（10-1</w:t>
            </w:r>
            <w:r>
              <w:rPr>
                <w:rFonts w:hint="eastAsia"/>
                <w:sz w:val="24"/>
                <w:szCs w:val="24"/>
                <w:lang w:val="en-US" w:eastAsia="zh-CN"/>
              </w:rPr>
              <w:t>5</w:t>
            </w:r>
            <w:r>
              <w:rPr>
                <w:rFonts w:hint="default"/>
                <w:sz w:val="24"/>
                <w:szCs w:val="24"/>
                <w:lang w:val="en-US" w:eastAsia="zh-CN"/>
              </w:rPr>
              <w:t>分）： 材质良好，手感尚可；厚度密度符合要求，回弹性良好；工艺良好，有轻微瑕疵；防滑效果良好。</w:t>
            </w:r>
            <w:r>
              <w:rPr>
                <w:rFonts w:hint="default"/>
                <w:sz w:val="24"/>
                <w:szCs w:val="24"/>
                <w:lang w:val="en-US" w:eastAsia="zh-CN"/>
              </w:rPr>
              <w:br w:type="textWrapping"/>
            </w:r>
            <w:r>
              <w:rPr>
                <w:rFonts w:hint="eastAsia"/>
                <w:sz w:val="24"/>
                <w:szCs w:val="24"/>
                <w:lang w:val="en-US" w:eastAsia="zh-CN"/>
              </w:rPr>
              <w:t xml:space="preserve">   </w:t>
            </w:r>
            <w:r>
              <w:rPr>
                <w:rFonts w:hint="default"/>
                <w:sz w:val="24"/>
                <w:szCs w:val="24"/>
                <w:lang w:val="en-US" w:eastAsia="zh-CN"/>
              </w:rPr>
              <w:t>中（7-</w:t>
            </w:r>
            <w:r>
              <w:rPr>
                <w:rFonts w:hint="eastAsia"/>
                <w:sz w:val="24"/>
                <w:szCs w:val="24"/>
                <w:lang w:val="en-US" w:eastAsia="zh-CN"/>
              </w:rPr>
              <w:t>10</w:t>
            </w:r>
            <w:r>
              <w:rPr>
                <w:rFonts w:hint="default"/>
                <w:sz w:val="24"/>
                <w:szCs w:val="24"/>
                <w:lang w:val="en-US" w:eastAsia="zh-CN"/>
              </w:rPr>
              <w:t>分）： 材质、厚度密度、工艺或防滑性其中一项或多项一般，但基本满足使用要求。</w:t>
            </w:r>
            <w:r>
              <w:rPr>
                <w:rFonts w:hint="default"/>
                <w:sz w:val="24"/>
                <w:szCs w:val="24"/>
                <w:lang w:val="en-US" w:eastAsia="zh-CN"/>
              </w:rPr>
              <w:br w:type="textWrapping"/>
            </w:r>
            <w:r>
              <w:rPr>
                <w:rFonts w:hint="eastAsia"/>
                <w:sz w:val="24"/>
                <w:szCs w:val="24"/>
                <w:lang w:val="en-US" w:eastAsia="zh-CN"/>
              </w:rPr>
              <w:t xml:space="preserve">   </w:t>
            </w:r>
            <w:r>
              <w:rPr>
                <w:rFonts w:hint="default"/>
                <w:sz w:val="24"/>
                <w:szCs w:val="24"/>
                <w:lang w:val="en-US" w:eastAsia="zh-CN"/>
              </w:rPr>
              <w:t>差（0-</w:t>
            </w:r>
            <w:r>
              <w:rPr>
                <w:rFonts w:hint="eastAsia"/>
                <w:sz w:val="24"/>
                <w:szCs w:val="24"/>
                <w:lang w:val="en-US" w:eastAsia="zh-CN"/>
              </w:rPr>
              <w:t>7</w:t>
            </w:r>
            <w:r>
              <w:rPr>
                <w:rFonts w:hint="default"/>
                <w:sz w:val="24"/>
                <w:szCs w:val="24"/>
                <w:lang w:val="en-US" w:eastAsia="zh-CN"/>
              </w:rPr>
              <w:t>分）： 材质低劣，有异味；厚度不均，密度稀疏；工艺粗糙，有严重瑕疵；防滑效果差。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pPr>
              <w:spacing w:line="240" w:lineRule="auto"/>
              <w:ind w:firstLine="420"/>
              <w:rPr>
                <w:rFonts w:hint="default"/>
                <w:sz w:val="24"/>
                <w:szCs w:val="24"/>
                <w:lang w:val="en-US" w:eastAsia="zh-CN"/>
              </w:rPr>
            </w:pPr>
            <w:r>
              <w:rPr>
                <w:rFonts w:hint="eastAsia"/>
                <w:sz w:val="24"/>
                <w:szCs w:val="24"/>
                <w:lang w:val="en-US" w:eastAsia="zh-CN"/>
              </w:rPr>
              <w:t>3</w:t>
            </w:r>
          </w:p>
        </w:tc>
        <w:tc>
          <w:tcPr>
            <w:tcW w:w="767" w:type="pct"/>
            <w:vAlign w:val="center"/>
          </w:tcPr>
          <w:p>
            <w:pPr>
              <w:spacing w:line="240" w:lineRule="auto"/>
              <w:jc w:val="center"/>
              <w:rPr>
                <w:rFonts w:hint="eastAsia"/>
                <w:sz w:val="24"/>
                <w:szCs w:val="24"/>
                <w:lang w:val="en-US" w:eastAsia="zh-CN"/>
              </w:rPr>
            </w:pPr>
            <w:r>
              <w:rPr>
                <w:rFonts w:hint="eastAsia"/>
                <w:sz w:val="24"/>
                <w:szCs w:val="24"/>
                <w:lang w:val="en-US" w:eastAsia="zh-CN"/>
              </w:rPr>
              <w:t>履约能力10%</w:t>
            </w:r>
          </w:p>
        </w:tc>
        <w:tc>
          <w:tcPr>
            <w:tcW w:w="381" w:type="pct"/>
            <w:vAlign w:val="center"/>
          </w:tcPr>
          <w:p>
            <w:pPr>
              <w:spacing w:line="240" w:lineRule="auto"/>
              <w:jc w:val="center"/>
              <w:rPr>
                <w:rFonts w:hint="eastAsia"/>
                <w:sz w:val="24"/>
                <w:szCs w:val="24"/>
                <w:lang w:val="en-US" w:eastAsia="zh-CN"/>
              </w:rPr>
            </w:pPr>
            <w:r>
              <w:rPr>
                <w:rFonts w:hint="eastAsia"/>
                <w:sz w:val="24"/>
                <w:szCs w:val="24"/>
                <w:lang w:val="en-US" w:eastAsia="zh-CN"/>
              </w:rPr>
              <w:t>10分</w:t>
            </w:r>
          </w:p>
        </w:tc>
        <w:tc>
          <w:tcPr>
            <w:tcW w:w="3354" w:type="pct"/>
            <w:vAlign w:val="center"/>
          </w:tcPr>
          <w:p>
            <w:pPr>
              <w:spacing w:line="240" w:lineRule="auto"/>
              <w:ind w:firstLine="420"/>
              <w:rPr>
                <w:rFonts w:hint="eastAsia"/>
                <w:sz w:val="24"/>
                <w:szCs w:val="24"/>
                <w:lang w:val="en-US" w:eastAsia="zh-CN"/>
              </w:rPr>
            </w:pPr>
            <w:r>
              <w:rPr>
                <w:rFonts w:hint="eastAsia"/>
                <w:sz w:val="24"/>
                <w:szCs w:val="24"/>
                <w:lang w:val="en-US" w:eastAsia="zh-CN"/>
              </w:rPr>
              <w:t>比选申请人自2022年1月1日（含）以来每有1个类似项目业绩的得5分，最多得10分。</w:t>
            </w:r>
          </w:p>
          <w:p>
            <w:pPr>
              <w:spacing w:line="240" w:lineRule="auto"/>
              <w:ind w:firstLine="420"/>
              <w:rPr>
                <w:rFonts w:hint="eastAsia"/>
                <w:sz w:val="24"/>
                <w:szCs w:val="24"/>
                <w:lang w:val="en-US" w:eastAsia="zh-CN"/>
              </w:rPr>
            </w:pPr>
            <w:r>
              <w:rPr>
                <w:rFonts w:hint="eastAsia"/>
                <w:sz w:val="24"/>
                <w:szCs w:val="24"/>
                <w:lang w:val="en-US" w:eastAsia="zh-CN"/>
              </w:rPr>
              <w:t>注：提供中标（成交）通知书复印件或合同复印件并加盖鲜章。模板自拟。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Align w:val="center"/>
          </w:tcPr>
          <w:p>
            <w:pPr>
              <w:spacing w:line="240" w:lineRule="auto"/>
              <w:ind w:firstLine="420"/>
              <w:rPr>
                <w:rFonts w:hint="default"/>
                <w:sz w:val="24"/>
                <w:szCs w:val="24"/>
                <w:lang w:val="en-US" w:eastAsia="zh-CN"/>
              </w:rPr>
            </w:pPr>
            <w:r>
              <w:rPr>
                <w:rFonts w:hint="eastAsia"/>
                <w:sz w:val="24"/>
                <w:szCs w:val="24"/>
                <w:lang w:val="en-US" w:eastAsia="zh-CN"/>
              </w:rPr>
              <w:t>4</w:t>
            </w:r>
          </w:p>
        </w:tc>
        <w:tc>
          <w:tcPr>
            <w:tcW w:w="767" w:type="pct"/>
            <w:vAlign w:val="center"/>
          </w:tcPr>
          <w:p>
            <w:pPr>
              <w:spacing w:line="240" w:lineRule="auto"/>
              <w:jc w:val="center"/>
              <w:rPr>
                <w:rFonts w:hint="eastAsia"/>
                <w:sz w:val="24"/>
                <w:szCs w:val="24"/>
                <w:lang w:val="en-US" w:eastAsia="zh-CN"/>
              </w:rPr>
            </w:pPr>
            <w:r>
              <w:rPr>
                <w:rFonts w:hint="eastAsia"/>
                <w:sz w:val="24"/>
                <w:szCs w:val="24"/>
                <w:lang w:val="en-US" w:eastAsia="zh-CN"/>
              </w:rPr>
              <w:t>服务方案20%</w:t>
            </w:r>
          </w:p>
        </w:tc>
        <w:tc>
          <w:tcPr>
            <w:tcW w:w="381" w:type="pct"/>
            <w:vAlign w:val="center"/>
          </w:tcPr>
          <w:p>
            <w:pPr>
              <w:spacing w:line="240" w:lineRule="auto"/>
              <w:jc w:val="center"/>
              <w:rPr>
                <w:rFonts w:hint="eastAsia"/>
                <w:sz w:val="24"/>
                <w:szCs w:val="24"/>
                <w:lang w:val="en-US" w:eastAsia="zh-CN"/>
              </w:rPr>
            </w:pPr>
            <w:r>
              <w:rPr>
                <w:rFonts w:hint="eastAsia"/>
                <w:sz w:val="24"/>
                <w:szCs w:val="24"/>
                <w:lang w:val="en-US" w:eastAsia="zh-CN"/>
              </w:rPr>
              <w:t>20分</w:t>
            </w:r>
          </w:p>
        </w:tc>
        <w:tc>
          <w:tcPr>
            <w:tcW w:w="3354" w:type="pct"/>
            <w:vAlign w:val="center"/>
          </w:tcPr>
          <w:p>
            <w:pPr>
              <w:spacing w:line="240" w:lineRule="auto"/>
              <w:ind w:firstLine="420"/>
              <w:rPr>
                <w:rFonts w:hint="eastAsia"/>
                <w:sz w:val="24"/>
                <w:szCs w:val="24"/>
                <w:lang w:val="en-US" w:eastAsia="zh-CN"/>
              </w:rPr>
            </w:pPr>
            <w:r>
              <w:rPr>
                <w:rFonts w:hint="eastAsia"/>
                <w:sz w:val="24"/>
                <w:szCs w:val="24"/>
                <w:lang w:val="en-US" w:eastAsia="zh-CN"/>
              </w:rPr>
              <w:t>根据比选申请人提供的对项目的实施方案内容进行评审，内容至少包含：①安装服务；②售后服务；③产品质检报告合格证等</w:t>
            </w:r>
            <w:r>
              <w:rPr>
                <w:rFonts w:hint="eastAsia" w:ascii="宋体" w:hAnsi="宋体" w:eastAsia="宋体" w:cs="宋体"/>
                <w:sz w:val="24"/>
                <w:szCs w:val="24"/>
                <w:lang w:val="en-US" w:eastAsia="zh-CN"/>
              </w:rPr>
              <w:t>④</w:t>
            </w:r>
            <w:r>
              <w:rPr>
                <w:rFonts w:hint="eastAsia"/>
                <w:sz w:val="24"/>
                <w:szCs w:val="24"/>
                <w:lang w:val="en-US" w:eastAsia="zh-CN"/>
              </w:rPr>
              <w:t>承诺书，进行综合评审，内容齐全且满足本项目实施进度及管理需求的得20分，每有一项内容缺失扣5分，每有一项内容描述不合理或不完善的扣2分，扣完为止。模板自拟。</w:t>
            </w:r>
          </w:p>
        </w:tc>
      </w:tr>
    </w:tbl>
    <w:p>
      <w:pPr>
        <w:spacing w:line="240" w:lineRule="auto"/>
        <w:ind w:firstLine="420"/>
        <w:rPr>
          <w:rFonts w:hint="eastAsia"/>
          <w:color w:val="auto"/>
          <w:sz w:val="28"/>
          <w:szCs w:val="28"/>
          <w:lang w:val="en-US" w:eastAsia="zh-CN"/>
        </w:rPr>
      </w:pPr>
      <w:r>
        <w:rPr>
          <w:rFonts w:hint="eastAsia"/>
          <w:sz w:val="28"/>
          <w:szCs w:val="28"/>
          <w:lang w:val="en-US" w:eastAsia="zh-CN"/>
        </w:rPr>
        <w:t>四、</w:t>
      </w:r>
      <w:r>
        <w:rPr>
          <w:rFonts w:hint="eastAsia"/>
          <w:color w:val="auto"/>
          <w:sz w:val="28"/>
          <w:szCs w:val="28"/>
          <w:lang w:val="en-US" w:eastAsia="zh-CN"/>
        </w:rPr>
        <w:t>联系方式：</w:t>
      </w:r>
    </w:p>
    <w:p>
      <w:pPr>
        <w:spacing w:line="240" w:lineRule="auto"/>
        <w:ind w:firstLine="420"/>
        <w:rPr>
          <w:rFonts w:hint="eastAsia"/>
          <w:color w:val="auto"/>
          <w:sz w:val="28"/>
          <w:szCs w:val="28"/>
          <w:lang w:val="en-US" w:eastAsia="zh-CN"/>
        </w:rPr>
      </w:pPr>
      <w:r>
        <w:rPr>
          <w:rFonts w:hint="eastAsia"/>
          <w:color w:val="auto"/>
          <w:sz w:val="28"/>
          <w:szCs w:val="28"/>
          <w:lang w:val="en-US" w:eastAsia="zh-CN"/>
        </w:rPr>
        <w:t>联系人：沈老师  18328552702（工作日时段）</w:t>
      </w:r>
      <w:bookmarkStart w:id="0" w:name="_GoBack"/>
      <w:bookmarkEnd w:id="0"/>
    </w:p>
    <w:p>
      <w:pPr>
        <w:spacing w:line="240" w:lineRule="auto"/>
        <w:ind w:firstLine="420"/>
        <w:jc w:val="right"/>
        <w:rPr>
          <w:rFonts w:hint="eastAsia"/>
          <w:color w:val="auto"/>
          <w:sz w:val="28"/>
          <w:szCs w:val="28"/>
          <w:lang w:val="en-US" w:eastAsia="zh-CN"/>
        </w:rPr>
      </w:pPr>
      <w:r>
        <w:rPr>
          <w:rFonts w:hint="eastAsia"/>
          <w:color w:val="auto"/>
          <w:sz w:val="28"/>
          <w:szCs w:val="28"/>
          <w:lang w:val="en-US" w:eastAsia="zh-CN"/>
        </w:rPr>
        <w:t>成都市泡桐树小学（天府校区）</w:t>
      </w:r>
    </w:p>
    <w:p>
      <w:pPr>
        <w:spacing w:line="240" w:lineRule="auto"/>
        <w:ind w:firstLine="420"/>
        <w:jc w:val="right"/>
        <w:rPr>
          <w:rFonts w:hint="eastAsia"/>
        </w:rPr>
        <w:sectPr>
          <w:headerReference r:id="rId3" w:type="default"/>
          <w:footerReference r:id="rId4" w:type="default"/>
          <w:pgSz w:w="11906" w:h="16838"/>
          <w:pgMar w:top="1440" w:right="1800" w:bottom="1440" w:left="1800" w:header="851" w:footer="992" w:gutter="0"/>
          <w:pgNumType w:fmt="decimal"/>
          <w:cols w:space="0" w:num="1"/>
          <w:rtlGutter w:val="0"/>
          <w:docGrid w:type="lines" w:linePitch="312" w:charSpace="0"/>
        </w:sectPr>
      </w:pPr>
      <w:r>
        <w:rPr>
          <w:rFonts w:hint="eastAsia"/>
          <w:color w:val="auto"/>
          <w:sz w:val="28"/>
          <w:szCs w:val="28"/>
          <w:highlight w:val="none"/>
          <w:lang w:val="en-US" w:eastAsia="zh-CN"/>
        </w:rPr>
        <w:t xml:space="preserve"> 2025年12月1日</w:t>
      </w:r>
    </w:p>
    <w:p>
      <w:pPr>
        <w:spacing w:line="240" w:lineRule="auto"/>
        <w:rPr>
          <w:b/>
          <w:bCs/>
          <w:sz w:val="28"/>
          <w:szCs w:val="28"/>
        </w:rPr>
      </w:pPr>
      <w:r>
        <w:rPr>
          <w:rFonts w:hint="eastAsia"/>
          <w:b/>
          <w:bCs/>
          <w:sz w:val="28"/>
          <w:szCs w:val="28"/>
          <w:lang w:eastAsia="zh-CN"/>
        </w:rPr>
        <w:t>附件</w:t>
      </w:r>
      <w:r>
        <w:rPr>
          <w:rFonts w:hint="eastAsia"/>
          <w:b/>
          <w:bCs/>
          <w:sz w:val="28"/>
          <w:szCs w:val="28"/>
          <w:lang w:val="en-US" w:eastAsia="zh-CN"/>
        </w:rPr>
        <w:t>一</w:t>
      </w:r>
      <w:r>
        <w:rPr>
          <w:rFonts w:hint="eastAsia"/>
          <w:b/>
          <w:bCs/>
          <w:sz w:val="28"/>
          <w:szCs w:val="28"/>
          <w:lang w:eastAsia="zh-CN"/>
        </w:rPr>
        <w:t>、</w:t>
      </w:r>
      <w:r>
        <w:rPr>
          <w:rFonts w:hint="eastAsia"/>
          <w:b/>
          <w:bCs/>
          <w:sz w:val="28"/>
          <w:szCs w:val="28"/>
        </w:rPr>
        <w:t>《报价单》</w:t>
      </w:r>
    </w:p>
    <w:p>
      <w:pPr>
        <w:spacing w:line="240" w:lineRule="auto"/>
        <w:jc w:val="center"/>
        <w:rPr>
          <w:rFonts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rPr>
        <w:t>成都市泡桐树小学（天府校区）</w:t>
      </w:r>
    </w:p>
    <w:p>
      <w:pPr>
        <w:spacing w:line="240" w:lineRule="auto"/>
        <w:jc w:val="center"/>
        <w:rPr>
          <w:rFonts w:hint="eastAsia" w:ascii="微软雅黑" w:hAnsi="微软雅黑" w:eastAsia="微软雅黑" w:cs="微软雅黑"/>
          <w:b/>
          <w:color w:val="000000"/>
          <w:sz w:val="28"/>
          <w:szCs w:val="28"/>
        </w:rPr>
      </w:pPr>
      <w:r>
        <w:rPr>
          <w:rFonts w:hint="eastAsia" w:ascii="微软雅黑" w:hAnsi="微软雅黑" w:eastAsia="微软雅黑" w:cs="微软雅黑"/>
          <w:b/>
          <w:color w:val="000000"/>
          <w:sz w:val="28"/>
          <w:szCs w:val="28"/>
          <w:lang w:val="en-US" w:eastAsia="zh-CN"/>
        </w:rPr>
        <w:t>武术地毯</w:t>
      </w:r>
      <w:r>
        <w:rPr>
          <w:rFonts w:hint="eastAsia" w:ascii="微软雅黑" w:hAnsi="微软雅黑" w:eastAsia="微软雅黑" w:cs="微软雅黑"/>
          <w:b/>
          <w:color w:val="000000"/>
          <w:sz w:val="28"/>
          <w:szCs w:val="28"/>
        </w:rPr>
        <w:t>报价单</w:t>
      </w:r>
    </w:p>
    <w:p>
      <w:pPr>
        <w:keepNext w:val="0"/>
        <w:keepLines w:val="0"/>
        <w:pageBreakBefore w:val="0"/>
        <w:widowControl w:val="0"/>
        <w:tabs>
          <w:tab w:val="left" w:pos="4761"/>
        </w:tabs>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单位名称：</w:t>
      </w:r>
      <w:r>
        <w:rPr>
          <w:rFonts w:hint="eastAsia" w:ascii="微软雅黑" w:hAnsi="微软雅黑" w:eastAsia="微软雅黑" w:cs="微软雅黑"/>
          <w:b w:val="0"/>
          <w:bCs/>
          <w:sz w:val="24"/>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联系人：</w:t>
      </w:r>
      <w:r>
        <w:rPr>
          <w:rFonts w:hint="eastAsia" w:ascii="微软雅黑" w:hAnsi="微软雅黑" w:eastAsia="微软雅黑" w:cs="微软雅黑"/>
          <w:b w:val="0"/>
          <w:bCs/>
          <w:sz w:val="24"/>
          <w:lang w:val="en-US" w:eastAsia="zh-CN"/>
        </w:rPr>
        <w:t xml:space="preserve">  </w:t>
      </w:r>
      <w:r>
        <w:rPr>
          <w:rFonts w:hint="eastAsia" w:ascii="微软雅黑" w:hAnsi="微软雅黑" w:eastAsia="微软雅黑" w:cs="微软雅黑"/>
          <w:b w:val="0"/>
          <w:bCs/>
          <w:sz w:val="24"/>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联系电话：</w:t>
      </w:r>
      <w:r>
        <w:rPr>
          <w:rFonts w:hint="eastAsia" w:ascii="微软雅黑" w:hAnsi="微软雅黑" w:eastAsia="微软雅黑" w:cs="微软雅黑"/>
          <w:b w:val="0"/>
          <w:bCs/>
          <w:sz w:val="24"/>
          <w:u w:val="single"/>
          <w:lang w:val="en-US" w:eastAsia="zh-CN"/>
        </w:rPr>
        <w:t xml:space="preserve">                                                </w:t>
      </w:r>
    </w:p>
    <w:p>
      <w:pPr>
        <w:keepNext w:val="0"/>
        <w:keepLines w:val="0"/>
        <w:pageBreakBefore w:val="0"/>
        <w:widowControl w:val="0"/>
        <w:tabs>
          <w:tab w:val="left" w:pos="4761"/>
        </w:tabs>
        <w:kinsoku/>
        <w:wordWrap/>
        <w:overflowPunct/>
        <w:topLinePunct w:val="0"/>
        <w:autoSpaceDE/>
        <w:autoSpaceDN/>
        <w:bidi w:val="0"/>
        <w:adjustRightInd/>
        <w:snapToGrid/>
        <w:spacing w:line="240" w:lineRule="auto"/>
        <w:jc w:val="left"/>
        <w:textAlignment w:val="auto"/>
        <w:rPr>
          <w:rFonts w:hint="default" w:ascii="微软雅黑" w:hAnsi="微软雅黑" w:eastAsia="微软雅黑" w:cs="微软雅黑"/>
          <w:b w:val="0"/>
          <w:bCs/>
          <w:sz w:val="24"/>
          <w:u w:val="single"/>
          <w:lang w:val="en-US" w:eastAsia="zh-CN"/>
        </w:rPr>
      </w:pPr>
      <w:r>
        <w:rPr>
          <w:rFonts w:hint="eastAsia" w:ascii="微软雅黑" w:hAnsi="微软雅黑" w:eastAsia="微软雅黑" w:cs="微软雅黑"/>
          <w:b w:val="0"/>
          <w:bCs/>
          <w:sz w:val="24"/>
        </w:rPr>
        <w:t>日</w:t>
      </w:r>
      <w:r>
        <w:rPr>
          <w:rFonts w:hint="eastAsia" w:ascii="微软雅黑" w:hAnsi="微软雅黑" w:eastAsia="微软雅黑" w:cs="微软雅黑"/>
          <w:b w:val="0"/>
          <w:bCs/>
          <w:sz w:val="24"/>
          <w:lang w:val="en-US" w:eastAsia="zh-CN"/>
        </w:rPr>
        <w:t xml:space="preserve">   </w:t>
      </w:r>
      <w:r>
        <w:rPr>
          <w:rFonts w:hint="eastAsia" w:ascii="微软雅黑" w:hAnsi="微软雅黑" w:eastAsia="微软雅黑" w:cs="微软雅黑"/>
          <w:b w:val="0"/>
          <w:bCs/>
          <w:sz w:val="24"/>
        </w:rPr>
        <w:t xml:space="preserve">期： </w:t>
      </w:r>
      <w:r>
        <w:rPr>
          <w:rFonts w:hint="eastAsia" w:ascii="微软雅黑" w:hAnsi="微软雅黑" w:eastAsia="微软雅黑" w:cs="微软雅黑"/>
          <w:b w:val="0"/>
          <w:bCs/>
          <w:sz w:val="24"/>
          <w:u w:val="single"/>
        </w:rPr>
        <w:t xml:space="preserve">     年    月    日</w:t>
      </w:r>
      <w:r>
        <w:rPr>
          <w:rFonts w:hint="eastAsia" w:ascii="微软雅黑" w:hAnsi="微软雅黑" w:eastAsia="微软雅黑" w:cs="微软雅黑"/>
          <w:b w:val="0"/>
          <w:bCs/>
          <w:sz w:val="24"/>
          <w:u w:val="single"/>
          <w:lang w:val="en-US" w:eastAsia="zh-CN"/>
        </w:rPr>
        <w:t xml:space="preserve">                             </w:t>
      </w:r>
    </w:p>
    <w:p>
      <w:pPr>
        <w:pStyle w:val="2"/>
        <w:rPr>
          <w:rFonts w:hint="default" w:eastAsia="微软雅黑"/>
          <w:u w:val="single"/>
          <w:lang w:val="en-US" w:eastAsia="zh-CN"/>
        </w:rPr>
      </w:pPr>
      <w:r>
        <w:rPr>
          <w:rFonts w:hint="eastAsia" w:ascii="微软雅黑" w:hAnsi="微软雅黑" w:eastAsia="微软雅黑" w:cs="微软雅黑"/>
          <w:b w:val="0"/>
          <w:bCs/>
          <w:sz w:val="24"/>
          <w:lang w:eastAsia="zh-CN"/>
        </w:rPr>
        <w:t>报</w:t>
      </w:r>
      <w:r>
        <w:rPr>
          <w:rFonts w:hint="eastAsia" w:ascii="微软雅黑" w:hAnsi="微软雅黑" w:eastAsia="微软雅黑" w:cs="微软雅黑"/>
          <w:b w:val="0"/>
          <w:bCs/>
          <w:sz w:val="24"/>
          <w:lang w:val="en-US" w:eastAsia="zh-CN"/>
        </w:rPr>
        <w:t xml:space="preserve">   </w:t>
      </w:r>
      <w:r>
        <w:rPr>
          <w:rFonts w:hint="eastAsia" w:ascii="微软雅黑" w:hAnsi="微软雅黑" w:eastAsia="微软雅黑" w:cs="微软雅黑"/>
          <w:b w:val="0"/>
          <w:bCs/>
          <w:sz w:val="24"/>
          <w:lang w:eastAsia="zh-CN"/>
        </w:rPr>
        <w:t>价：</w:t>
      </w:r>
    </w:p>
    <w:tbl>
      <w:tblPr>
        <w:tblStyle w:val="8"/>
        <w:tblW w:w="4951" w:type="pct"/>
        <w:tblInd w:w="0" w:type="dxa"/>
        <w:tblLayout w:type="fixed"/>
        <w:tblCellMar>
          <w:top w:w="0" w:type="dxa"/>
          <w:left w:w="108" w:type="dxa"/>
          <w:bottom w:w="0" w:type="dxa"/>
          <w:right w:w="108" w:type="dxa"/>
        </w:tblCellMar>
      </w:tblPr>
      <w:tblGrid>
        <w:gridCol w:w="539"/>
        <w:gridCol w:w="1180"/>
        <w:gridCol w:w="1104"/>
        <w:gridCol w:w="595"/>
        <w:gridCol w:w="595"/>
        <w:gridCol w:w="816"/>
        <w:gridCol w:w="872"/>
        <w:gridCol w:w="2738"/>
      </w:tblGrid>
      <w:tr>
        <w:tblPrEx>
          <w:tblCellMar>
            <w:top w:w="0" w:type="dxa"/>
            <w:left w:w="108" w:type="dxa"/>
            <w:bottom w:w="0" w:type="dxa"/>
            <w:right w:w="108" w:type="dxa"/>
          </w:tblCellMar>
        </w:tblPrEx>
        <w:trPr>
          <w:trHeight w:val="270" w:hRule="atLeast"/>
        </w:trPr>
        <w:tc>
          <w:tcPr>
            <w:tcW w:w="31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rPr>
              <w:t>序号</w:t>
            </w:r>
          </w:p>
        </w:tc>
        <w:tc>
          <w:tcPr>
            <w:tcW w:w="699"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rPr>
              <w:t>器材名称</w:t>
            </w:r>
          </w:p>
        </w:tc>
        <w:tc>
          <w:tcPr>
            <w:tcW w:w="65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rPr>
              <w:t>规格</w:t>
            </w:r>
          </w:p>
        </w:tc>
        <w:tc>
          <w:tcPr>
            <w:tcW w:w="3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rPr>
              <w:t>数量</w:t>
            </w:r>
          </w:p>
        </w:tc>
        <w:tc>
          <w:tcPr>
            <w:tcW w:w="35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lang w:val="en-US" w:eastAsia="zh-CN"/>
              </w:rPr>
              <w:t>单位</w:t>
            </w:r>
          </w:p>
        </w:tc>
        <w:tc>
          <w:tcPr>
            <w:tcW w:w="48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rPr>
              <w:t>单价（元）</w:t>
            </w:r>
          </w:p>
        </w:tc>
        <w:tc>
          <w:tcPr>
            <w:tcW w:w="5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val="0"/>
                <w:bCs w:val="0"/>
                <w:color w:val="000000"/>
                <w:kern w:val="0"/>
                <w:szCs w:val="21"/>
              </w:rPr>
            </w:pPr>
            <w:r>
              <w:rPr>
                <w:rFonts w:hint="eastAsia" w:cs="宋体" w:asciiTheme="minorEastAsia" w:hAnsiTheme="minorEastAsia"/>
                <w:b w:val="0"/>
                <w:bCs w:val="0"/>
                <w:color w:val="000000"/>
                <w:kern w:val="0"/>
                <w:szCs w:val="21"/>
                <w:lang w:val="en-US" w:eastAsia="zh-CN"/>
              </w:rPr>
              <w:t>小计</w:t>
            </w:r>
            <w:r>
              <w:rPr>
                <w:rFonts w:hint="eastAsia" w:cs="宋体" w:asciiTheme="minorEastAsia" w:hAnsiTheme="minorEastAsia"/>
                <w:b w:val="0"/>
                <w:bCs w:val="0"/>
                <w:color w:val="000000"/>
                <w:kern w:val="0"/>
                <w:szCs w:val="21"/>
              </w:rPr>
              <w:t>（元）</w:t>
            </w:r>
          </w:p>
        </w:tc>
        <w:tc>
          <w:tcPr>
            <w:tcW w:w="162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b w:val="0"/>
                <w:bCs w:val="0"/>
                <w:color w:val="000000"/>
                <w:kern w:val="0"/>
                <w:szCs w:val="21"/>
                <w:lang w:val="en-US" w:eastAsia="zh-CN"/>
              </w:rPr>
            </w:pPr>
            <w:r>
              <w:rPr>
                <w:rFonts w:hint="eastAsia" w:cs="宋体" w:asciiTheme="minorEastAsia" w:hAnsiTheme="minorEastAsia"/>
                <w:b w:val="0"/>
                <w:bCs w:val="0"/>
                <w:color w:val="000000"/>
                <w:kern w:val="0"/>
                <w:szCs w:val="21"/>
                <w:lang w:val="en-US" w:eastAsia="zh-CN"/>
              </w:rPr>
              <w:t>材质要求</w:t>
            </w:r>
          </w:p>
        </w:tc>
      </w:tr>
      <w:tr>
        <w:tblPrEx>
          <w:tblCellMar>
            <w:top w:w="0" w:type="dxa"/>
            <w:left w:w="108" w:type="dxa"/>
            <w:bottom w:w="0" w:type="dxa"/>
            <w:right w:w="108" w:type="dxa"/>
          </w:tblCellMar>
        </w:tblPrEx>
        <w:trPr>
          <w:trHeight w:val="873"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both"/>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1</w:t>
            </w:r>
          </w:p>
        </w:tc>
        <w:tc>
          <w:tcPr>
            <w:tcW w:w="699" w:type="pct"/>
            <w:tcBorders>
              <w:top w:val="nil"/>
              <w:left w:val="nil"/>
              <w:bottom w:val="single" w:color="auto" w:sz="4" w:space="0"/>
              <w:right w:val="single" w:color="auto" w:sz="4" w:space="0"/>
            </w:tcBorders>
            <w:shd w:val="clear" w:color="auto" w:fill="auto"/>
            <w:vAlign w:val="center"/>
          </w:tcPr>
          <w:p>
            <w:pPr>
              <w:widowControl/>
              <w:jc w:val="both"/>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武术地毯</w:t>
            </w: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7.5*16米</w:t>
            </w:r>
          </w:p>
          <w:p>
            <w:pPr>
              <w:widowControl/>
              <w:jc w:val="center"/>
              <w:rPr>
                <w:rFonts w:hint="default" w:cs="宋体" w:asciiTheme="minorEastAsia" w:hAnsiTheme="minorEastAsia"/>
                <w:color w:val="000000"/>
                <w:kern w:val="0"/>
                <w:szCs w:val="21"/>
                <w:lang w:val="en-US" w:eastAsia="zh-CN"/>
              </w:rPr>
            </w:pPr>
          </w:p>
        </w:tc>
        <w:tc>
          <w:tcPr>
            <w:tcW w:w="352"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120</w:t>
            </w:r>
          </w:p>
        </w:tc>
        <w:tc>
          <w:tcPr>
            <w:tcW w:w="352"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w:t>
            </w:r>
          </w:p>
        </w:tc>
        <w:tc>
          <w:tcPr>
            <w:tcW w:w="483"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p>
        </w:tc>
        <w:tc>
          <w:tcPr>
            <w:tcW w:w="516"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eastAsiaTheme="minorEastAsia"/>
                <w:color w:val="000000"/>
                <w:kern w:val="0"/>
                <w:szCs w:val="21"/>
                <w:lang w:val="en-US" w:eastAsia="zh-CN"/>
              </w:rPr>
            </w:pPr>
          </w:p>
        </w:tc>
        <w:tc>
          <w:tcPr>
            <w:tcW w:w="1622" w:type="pct"/>
            <w:vMerge w:val="restart"/>
            <w:tcBorders>
              <w:top w:val="nil"/>
              <w:left w:val="nil"/>
              <w:right w:val="single" w:color="auto" w:sz="4" w:space="0"/>
            </w:tcBorders>
            <w:shd w:val="clear" w:color="auto" w:fill="auto"/>
            <w:vAlign w:val="center"/>
          </w:tcPr>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地毯面层材质：尼龙</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绒重量：1600克/㎡</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针距：每英寸14针</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绒高：0.8cm</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底部材质：加密麻丝</w:t>
            </w:r>
          </w:p>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毯面封边材：尼龙</w:t>
            </w:r>
          </w:p>
          <w:p>
            <w:pPr>
              <w:widowControl/>
              <w:jc w:val="both"/>
              <w:rPr>
                <w:rFonts w:hint="eastAsia" w:cs="宋体" w:asciiTheme="minorEastAsia" w:hAnsiTheme="minorEastAsia"/>
                <w:color w:val="000000"/>
                <w:kern w:val="0"/>
                <w:szCs w:val="21"/>
                <w:lang w:val="en-US" w:eastAsia="zh-CN"/>
              </w:rPr>
            </w:pPr>
          </w:p>
        </w:tc>
      </w:tr>
      <w:tr>
        <w:tblPrEx>
          <w:tblCellMar>
            <w:top w:w="0" w:type="dxa"/>
            <w:left w:w="108" w:type="dxa"/>
            <w:bottom w:w="0" w:type="dxa"/>
            <w:right w:w="108" w:type="dxa"/>
          </w:tblCellMar>
        </w:tblPrEx>
        <w:trPr>
          <w:trHeight w:val="873"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both"/>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2</w:t>
            </w:r>
          </w:p>
        </w:tc>
        <w:tc>
          <w:tcPr>
            <w:tcW w:w="699" w:type="pct"/>
            <w:tcBorders>
              <w:top w:val="nil"/>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武术地毯</w:t>
            </w:r>
          </w:p>
        </w:tc>
        <w:tc>
          <w:tcPr>
            <w:tcW w:w="654"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7.5*14米</w:t>
            </w:r>
          </w:p>
        </w:tc>
        <w:tc>
          <w:tcPr>
            <w:tcW w:w="352"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105</w:t>
            </w:r>
          </w:p>
        </w:tc>
        <w:tc>
          <w:tcPr>
            <w:tcW w:w="352" w:type="pct"/>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w:t>
            </w:r>
          </w:p>
        </w:tc>
        <w:tc>
          <w:tcPr>
            <w:tcW w:w="483"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kern w:val="0"/>
                <w:szCs w:val="21"/>
                <w:lang w:val="en-US" w:eastAsia="zh-CN"/>
              </w:rPr>
            </w:pPr>
          </w:p>
        </w:tc>
        <w:tc>
          <w:tcPr>
            <w:tcW w:w="516" w:type="pct"/>
            <w:tcBorders>
              <w:top w:val="nil"/>
              <w:left w:val="nil"/>
              <w:bottom w:val="single" w:color="auto" w:sz="4" w:space="0"/>
              <w:right w:val="single" w:color="auto" w:sz="4" w:space="0"/>
            </w:tcBorders>
            <w:shd w:val="clear" w:color="auto" w:fill="auto"/>
            <w:vAlign w:val="center"/>
          </w:tcPr>
          <w:p>
            <w:pPr>
              <w:widowControl/>
              <w:jc w:val="center"/>
              <w:rPr>
                <w:rFonts w:hint="default" w:cs="宋体" w:asciiTheme="minorEastAsia" w:hAnsiTheme="minorEastAsia"/>
                <w:color w:val="000000"/>
                <w:kern w:val="0"/>
                <w:szCs w:val="21"/>
                <w:lang w:val="en-US" w:eastAsia="zh-CN"/>
              </w:rPr>
            </w:pPr>
          </w:p>
        </w:tc>
        <w:tc>
          <w:tcPr>
            <w:tcW w:w="1622" w:type="pct"/>
            <w:vMerge w:val="continue"/>
            <w:tcBorders>
              <w:left w:val="nil"/>
              <w:bottom w:val="single" w:color="auto" w:sz="4" w:space="0"/>
              <w:right w:val="single" w:color="auto" w:sz="4" w:space="0"/>
            </w:tcBorders>
            <w:shd w:val="clear" w:color="auto" w:fill="auto"/>
            <w:vAlign w:val="center"/>
          </w:tcPr>
          <w:p>
            <w:pPr>
              <w:widowControl/>
              <w:jc w:val="both"/>
              <w:rPr>
                <w:rFonts w:hint="eastAsia" w:cs="宋体" w:asciiTheme="minorEastAsia" w:hAnsiTheme="minorEastAsia"/>
                <w:color w:val="000000"/>
                <w:kern w:val="0"/>
                <w:szCs w:val="21"/>
                <w:lang w:val="en-US" w:eastAsia="zh-CN"/>
              </w:rPr>
            </w:pPr>
          </w:p>
        </w:tc>
      </w:tr>
      <w:tr>
        <w:tblPrEx>
          <w:tblCellMar>
            <w:top w:w="0" w:type="dxa"/>
            <w:left w:w="108" w:type="dxa"/>
            <w:bottom w:w="0" w:type="dxa"/>
            <w:right w:w="108" w:type="dxa"/>
          </w:tblCellMar>
        </w:tblPrEx>
        <w:trPr>
          <w:trHeight w:val="270" w:hRule="atLeast"/>
        </w:trPr>
        <w:tc>
          <w:tcPr>
            <w:tcW w:w="2861" w:type="pct"/>
            <w:gridSpan w:val="6"/>
            <w:tcBorders>
              <w:top w:val="nil"/>
              <w:left w:val="single" w:color="auto" w:sz="4" w:space="0"/>
              <w:bottom w:val="single" w:color="auto" w:sz="4" w:space="0"/>
              <w:right w:val="single" w:color="000000" w:sz="4" w:space="0"/>
            </w:tcBorders>
            <w:shd w:val="clear" w:color="auto" w:fill="auto"/>
            <w:noWrap/>
            <w:vAlign w:val="center"/>
          </w:tcPr>
          <w:p>
            <w:pPr>
              <w:widowControl/>
              <w:jc w:val="center"/>
              <w:rPr>
                <w:rFonts w:hint="eastAsia" w:cs="宋体" w:asciiTheme="minorEastAsia" w:hAnsiTheme="minorEastAsia" w:eastAsiaTheme="minorEastAsia"/>
                <w:color w:val="000000"/>
                <w:kern w:val="0"/>
                <w:sz w:val="22"/>
                <w:lang w:val="en-US" w:eastAsia="zh-CN"/>
              </w:rPr>
            </w:pPr>
            <w:r>
              <w:rPr>
                <w:rFonts w:hint="eastAsia" w:cs="宋体" w:asciiTheme="minorEastAsia" w:hAnsiTheme="minorEastAsia"/>
                <w:color w:val="000000"/>
                <w:kern w:val="0"/>
                <w:sz w:val="22"/>
                <w:lang w:val="en-US" w:eastAsia="zh-CN"/>
              </w:rPr>
              <w:t>合计</w:t>
            </w:r>
          </w:p>
        </w:tc>
        <w:tc>
          <w:tcPr>
            <w:tcW w:w="2138" w:type="pct"/>
            <w:gridSpan w:val="2"/>
            <w:tcBorders>
              <w:top w:val="single" w:color="auto" w:sz="4" w:space="0"/>
              <w:left w:val="nil"/>
              <w:bottom w:val="single" w:color="auto" w:sz="4" w:space="0"/>
              <w:right w:val="single" w:color="auto" w:sz="4" w:space="0"/>
            </w:tcBorders>
            <w:shd w:val="clear" w:color="auto" w:fill="auto"/>
            <w:noWrap/>
            <w:vAlign w:val="center"/>
          </w:tcPr>
          <w:p>
            <w:pPr>
              <w:widowControl/>
              <w:ind w:firstLine="1260" w:firstLineChars="600"/>
              <w:jc w:val="both"/>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元</w:t>
            </w:r>
          </w:p>
        </w:tc>
      </w:tr>
    </w:tbl>
    <w:p>
      <w:pPr>
        <w:pStyle w:val="2"/>
        <w:rPr>
          <w:rFonts w:hint="default" w:eastAsia="微软雅黑"/>
          <w:u w:val="single"/>
          <w:lang w:val="en-US" w:eastAsia="zh-CN"/>
        </w:rPr>
      </w:pPr>
    </w:p>
    <w:p>
      <w:pPr>
        <w:pStyle w:val="3"/>
        <w:ind w:firstLine="482" w:firstLineChars="200"/>
        <w:rPr>
          <w:rFonts w:hint="default"/>
          <w:sz w:val="24"/>
          <w:szCs w:val="24"/>
          <w:lang w:val="en-US" w:eastAsia="zh-CN"/>
        </w:rPr>
      </w:pPr>
      <w:r>
        <w:rPr>
          <w:rFonts w:hint="eastAsia"/>
          <w:b/>
          <w:bCs/>
          <w:sz w:val="24"/>
        </w:rPr>
        <w:t>注：</w:t>
      </w:r>
      <w:r>
        <w:rPr>
          <w:rFonts w:hint="eastAsia"/>
          <w:b/>
          <w:bCs/>
          <w:sz w:val="24"/>
          <w:lang w:eastAsia="zh-CN"/>
        </w:rPr>
        <w:t>报价单位参与报价必须完全响应采购需求。</w:t>
      </w:r>
      <w:r>
        <w:rPr>
          <w:rFonts w:hint="eastAsia"/>
          <w:sz w:val="24"/>
        </w:rPr>
        <w:t>报价为含税开票价格，并为一次性报价，在确保满足参数要求的前提下报价不能超过预算</w:t>
      </w:r>
      <w:r>
        <w:rPr>
          <w:rFonts w:hint="eastAsia"/>
          <w:sz w:val="24"/>
          <w:lang w:eastAsia="zh-CN"/>
        </w:rPr>
        <w:t>总</w:t>
      </w:r>
      <w:r>
        <w:rPr>
          <w:rFonts w:hint="eastAsia"/>
          <w:sz w:val="24"/>
        </w:rPr>
        <w:t>价</w:t>
      </w:r>
      <w:r>
        <w:rPr>
          <w:rFonts w:hint="eastAsia"/>
          <w:sz w:val="28"/>
          <w:szCs w:val="28"/>
          <w:lang w:val="en-US" w:eastAsia="zh-CN"/>
        </w:rPr>
        <w:t>51750.00</w:t>
      </w:r>
      <w:r>
        <w:rPr>
          <w:rFonts w:hint="eastAsia"/>
          <w:sz w:val="24"/>
        </w:rPr>
        <w:t>，否则视为无效报价；所供产品或服务的规格及质量应达到国家标准。</w:t>
      </w:r>
    </w:p>
    <w:p>
      <w:pPr>
        <w:ind w:firstLine="420"/>
        <w:rPr>
          <w:rFonts w:hint="eastAsia"/>
          <w:sz w:val="24"/>
          <w:szCs w:val="24"/>
        </w:rPr>
      </w:pPr>
    </w:p>
    <w:p>
      <w:pPr>
        <w:pStyle w:val="2"/>
        <w:rPr>
          <w:rFonts w:hint="eastAsia"/>
          <w:b/>
          <w:bCs/>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ascii="楷体_GB2312" w:hAnsi="楷体_GB2312" w:eastAsia="楷体_GB2312" w:cs="楷体_GB2312"/>
        <w:sz w:val="20"/>
        <w:szCs w:val="24"/>
      </w:rPr>
      <w:drawing>
        <wp:inline distT="0" distB="0" distL="114300" distR="114300">
          <wp:extent cx="327025" cy="206375"/>
          <wp:effectExtent l="0" t="0" r="15875" b="3175"/>
          <wp:docPr id="3" name="图片 1" descr="新版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新版logo"/>
                  <pic:cNvPicPr>
                    <a:picLocks noChangeAspect="1"/>
                  </pic:cNvPicPr>
                </pic:nvPicPr>
                <pic:blipFill>
                  <a:blip r:embed="rId1"/>
                  <a:stretch>
                    <a:fillRect/>
                  </a:stretch>
                </pic:blipFill>
                <pic:spPr>
                  <a:xfrm>
                    <a:off x="0" y="0"/>
                    <a:ext cx="327025" cy="2063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0AD3A"/>
    <w:multiLevelType w:val="singleLevel"/>
    <w:tmpl w:val="84A0AD3A"/>
    <w:lvl w:ilvl="0" w:tentative="0">
      <w:start w:val="1"/>
      <w:numFmt w:val="decimal"/>
      <w:lvlText w:val="%1."/>
      <w:lvlJc w:val="left"/>
      <w:pPr>
        <w:ind w:left="425" w:hanging="425"/>
      </w:pPr>
      <w:rPr>
        <w:rFonts w:hint="default"/>
      </w:rPr>
    </w:lvl>
  </w:abstractNum>
  <w:abstractNum w:abstractNumId="1">
    <w:nsid w:val="D64BF4D4"/>
    <w:multiLevelType w:val="singleLevel"/>
    <w:tmpl w:val="D64BF4D4"/>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0N2U4OTU3NWExZDJmNmEyYzU0MzdhMTUyYzkwZmUifQ=="/>
  </w:docVars>
  <w:rsids>
    <w:rsidRoot w:val="007A5E55"/>
    <w:rsid w:val="000D0589"/>
    <w:rsid w:val="00521921"/>
    <w:rsid w:val="005444C9"/>
    <w:rsid w:val="007A5E55"/>
    <w:rsid w:val="008B78F2"/>
    <w:rsid w:val="01590630"/>
    <w:rsid w:val="016F27E7"/>
    <w:rsid w:val="0232250C"/>
    <w:rsid w:val="059D09F2"/>
    <w:rsid w:val="07820262"/>
    <w:rsid w:val="0814242D"/>
    <w:rsid w:val="09673239"/>
    <w:rsid w:val="0A75454C"/>
    <w:rsid w:val="0A9305C8"/>
    <w:rsid w:val="0C6B64E4"/>
    <w:rsid w:val="0C74486D"/>
    <w:rsid w:val="0DE57BD3"/>
    <w:rsid w:val="0E654A87"/>
    <w:rsid w:val="0EF1018E"/>
    <w:rsid w:val="101D3E2C"/>
    <w:rsid w:val="101D4830"/>
    <w:rsid w:val="120B6191"/>
    <w:rsid w:val="123540C0"/>
    <w:rsid w:val="14B02BF7"/>
    <w:rsid w:val="15353B65"/>
    <w:rsid w:val="15367319"/>
    <w:rsid w:val="158C5165"/>
    <w:rsid w:val="166812AF"/>
    <w:rsid w:val="17220C09"/>
    <w:rsid w:val="1961157A"/>
    <w:rsid w:val="1ABD5105"/>
    <w:rsid w:val="1B5B60D7"/>
    <w:rsid w:val="1BC028B8"/>
    <w:rsid w:val="1E4673C7"/>
    <w:rsid w:val="1EE3413B"/>
    <w:rsid w:val="21162D53"/>
    <w:rsid w:val="22497EF7"/>
    <w:rsid w:val="22941F95"/>
    <w:rsid w:val="22E75282"/>
    <w:rsid w:val="23971274"/>
    <w:rsid w:val="242D7763"/>
    <w:rsid w:val="29ED4990"/>
    <w:rsid w:val="2DAD45B2"/>
    <w:rsid w:val="30F2291B"/>
    <w:rsid w:val="315C0679"/>
    <w:rsid w:val="318F3BCB"/>
    <w:rsid w:val="32BB6DD1"/>
    <w:rsid w:val="34034262"/>
    <w:rsid w:val="3616028C"/>
    <w:rsid w:val="374817BC"/>
    <w:rsid w:val="37673F3D"/>
    <w:rsid w:val="38545D1F"/>
    <w:rsid w:val="3AE63954"/>
    <w:rsid w:val="3D4E7CEB"/>
    <w:rsid w:val="3DC178FB"/>
    <w:rsid w:val="3DEF2ED4"/>
    <w:rsid w:val="41DE677A"/>
    <w:rsid w:val="420C7940"/>
    <w:rsid w:val="43A166C0"/>
    <w:rsid w:val="453E313B"/>
    <w:rsid w:val="48144482"/>
    <w:rsid w:val="48356E5A"/>
    <w:rsid w:val="49F700C6"/>
    <w:rsid w:val="4A457B43"/>
    <w:rsid w:val="4B3232EA"/>
    <w:rsid w:val="4BE063DB"/>
    <w:rsid w:val="4C3C3B81"/>
    <w:rsid w:val="4CC07861"/>
    <w:rsid w:val="4D73213F"/>
    <w:rsid w:val="4D78714F"/>
    <w:rsid w:val="4DC01311"/>
    <w:rsid w:val="4DEB6E59"/>
    <w:rsid w:val="4EC428AA"/>
    <w:rsid w:val="511550B5"/>
    <w:rsid w:val="52C059A9"/>
    <w:rsid w:val="53EF6713"/>
    <w:rsid w:val="552853C0"/>
    <w:rsid w:val="5A297BD9"/>
    <w:rsid w:val="5A530A36"/>
    <w:rsid w:val="5A82704A"/>
    <w:rsid w:val="5B1879D4"/>
    <w:rsid w:val="5B662CAF"/>
    <w:rsid w:val="5CF60781"/>
    <w:rsid w:val="5DE97726"/>
    <w:rsid w:val="5E7469EA"/>
    <w:rsid w:val="60587A04"/>
    <w:rsid w:val="62812BF2"/>
    <w:rsid w:val="629E6A2C"/>
    <w:rsid w:val="62B35FCC"/>
    <w:rsid w:val="64702871"/>
    <w:rsid w:val="64917909"/>
    <w:rsid w:val="672A1E6E"/>
    <w:rsid w:val="67D44FFA"/>
    <w:rsid w:val="687A6795"/>
    <w:rsid w:val="6A9A2C6A"/>
    <w:rsid w:val="6D8C31AF"/>
    <w:rsid w:val="6E855B2D"/>
    <w:rsid w:val="6EBD6337"/>
    <w:rsid w:val="6F9A249A"/>
    <w:rsid w:val="6FA80BDC"/>
    <w:rsid w:val="70CE451E"/>
    <w:rsid w:val="723B4B0D"/>
    <w:rsid w:val="72957125"/>
    <w:rsid w:val="73503D9C"/>
    <w:rsid w:val="73A57AB3"/>
    <w:rsid w:val="75AF7A41"/>
    <w:rsid w:val="75F41B61"/>
    <w:rsid w:val="781B4C84"/>
    <w:rsid w:val="785A0091"/>
    <w:rsid w:val="786D1EFA"/>
    <w:rsid w:val="79DC1BF2"/>
    <w:rsid w:val="7B1D4F00"/>
    <w:rsid w:val="7B2F68B4"/>
    <w:rsid w:val="7C0E0451"/>
    <w:rsid w:val="7C4D7329"/>
    <w:rsid w:val="7C690D14"/>
    <w:rsid w:val="7C74568D"/>
    <w:rsid w:val="7D217FDA"/>
    <w:rsid w:val="7FC71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4"/>
    <w:basedOn w:val="1"/>
    <w:next w:val="1"/>
    <w:qFormat/>
    <w:uiPriority w:val="10"/>
    <w:pPr>
      <w:ind w:left="1200" w:hanging="400"/>
      <w:jc w:val="both"/>
      <w:outlineLvl w:val="3"/>
    </w:pPr>
    <w:rPr>
      <w:rFonts w:ascii="Calibri" w:hAnsi="Calibri" w:eastAsia="Times New Roman" w:cstheme="minorBidi"/>
      <w:b/>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5">
    <w:name w:val="Balloon Text"/>
    <w:basedOn w:val="1"/>
    <w:link w:val="16"/>
    <w:qFormat/>
    <w:uiPriority w:val="0"/>
    <w:rPr>
      <w:sz w:val="18"/>
      <w:szCs w:val="18"/>
    </w:rPr>
  </w:style>
  <w:style w:type="paragraph" w:styleId="6">
    <w:name w:val="footer"/>
    <w:basedOn w:val="1"/>
    <w:semiHidden/>
    <w:unhideWhenUsed/>
    <w:qFormat/>
    <w:uiPriority w:val="0"/>
    <w:pPr>
      <w:tabs>
        <w:tab w:val="center" w:pos="4153"/>
        <w:tab w:val="right" w:pos="8306"/>
      </w:tabs>
      <w:snapToGrid w:val="0"/>
      <w:jc w:val="left"/>
    </w:pPr>
    <w:rPr>
      <w:sz w:val="18"/>
    </w:rPr>
  </w:style>
  <w:style w:type="paragraph" w:styleId="7">
    <w:name w:val="header"/>
    <w:basedOn w:val="1"/>
    <w:semiHidden/>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styleId="12">
    <w:name w:val="List Paragraph"/>
    <w:basedOn w:val="1"/>
    <w:qFormat/>
    <w:uiPriority w:val="34"/>
    <w:pPr>
      <w:ind w:firstLine="420" w:firstLineChars="200"/>
    </w:pPr>
  </w:style>
  <w:style w:type="character" w:customStyle="1" w:styleId="13">
    <w:name w:val="font61"/>
    <w:basedOn w:val="10"/>
    <w:qFormat/>
    <w:uiPriority w:val="0"/>
    <w:rPr>
      <w:rFonts w:hint="default" w:ascii="楷体_GB2312" w:eastAsia="楷体_GB2312" w:cs="楷体_GB2312"/>
      <w:color w:val="000000"/>
      <w:sz w:val="24"/>
      <w:szCs w:val="24"/>
      <w:u w:val="none"/>
    </w:rPr>
  </w:style>
  <w:style w:type="character" w:customStyle="1" w:styleId="14">
    <w:name w:val="font01"/>
    <w:basedOn w:val="10"/>
    <w:qFormat/>
    <w:uiPriority w:val="0"/>
    <w:rPr>
      <w:rFonts w:hint="eastAsia" w:ascii="宋体" w:hAnsi="宋体" w:eastAsia="宋体" w:cs="宋体"/>
      <w:color w:val="000000"/>
      <w:sz w:val="24"/>
      <w:szCs w:val="24"/>
      <w:u w:val="none"/>
    </w:rPr>
  </w:style>
  <w:style w:type="character" w:customStyle="1" w:styleId="15">
    <w:name w:val="font41"/>
    <w:basedOn w:val="10"/>
    <w:qFormat/>
    <w:uiPriority w:val="0"/>
    <w:rPr>
      <w:rFonts w:hint="default" w:ascii="Times New Roman" w:hAnsi="Times New Roman" w:cs="Times New Roman"/>
      <w:color w:val="000000"/>
      <w:sz w:val="24"/>
      <w:szCs w:val="24"/>
      <w:u w:val="none"/>
    </w:rPr>
  </w:style>
  <w:style w:type="character" w:customStyle="1" w:styleId="16">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233</Words>
  <Characters>1333</Characters>
  <Lines>11</Lines>
  <Paragraphs>3</Paragraphs>
  <TotalTime>108</TotalTime>
  <ScaleCrop>false</ScaleCrop>
  <LinksUpToDate>false</LinksUpToDate>
  <CharactersWithSpaces>1563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2020-05-26T02:12:00Z</dcterms:created>
  <dc:creator>user</dc:creator>
  <cp:lastModifiedBy>Admin</cp:lastModifiedBy>
  <cp:lastPrinted>2024-05-22T02:37:00Z</cp:lastPrinted>
  <dcterms:modified xsi:type="dcterms:W3CDTF">2025-12-01T02:53:38Z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AD4732B3C36E479D9B16CEC5950F8134</vt:lpwstr>
  </property>
</Properties>
</file>