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rPr>
        <w:t>成都市泡桐树天府校区建设方案（微课程+翻转课堂）</w:t>
      </w:r>
    </w:p>
    <w:p>
      <w:pPr>
        <w:jc w:val="center"/>
        <w:rPr>
          <w:rFonts w:hint="eastAsia"/>
          <w:b/>
          <w:sz w:val="28"/>
          <w:szCs w:val="28"/>
          <w:lang w:val="en-US" w:eastAsia="zh-CN"/>
        </w:rPr>
      </w:pPr>
      <w:r>
        <w:rPr>
          <w:rFonts w:hint="eastAsia"/>
          <w:b/>
          <w:sz w:val="28"/>
          <w:szCs w:val="28"/>
          <w:lang w:val="en-US" w:eastAsia="zh-CN"/>
        </w:rPr>
        <w:t>第二包参数</w:t>
      </w:r>
    </w:p>
    <w:p>
      <w:pPr>
        <w:jc w:val="left"/>
        <w:rPr>
          <w:rFonts w:hint="eastAsia"/>
          <w:b/>
          <w:sz w:val="28"/>
          <w:szCs w:val="28"/>
          <w:lang w:val="en-US" w:eastAsia="zh-CN"/>
        </w:rPr>
      </w:pPr>
      <w:r>
        <w:rPr>
          <w:rFonts w:hint="eastAsia"/>
          <w:b/>
          <w:sz w:val="28"/>
          <w:szCs w:val="28"/>
          <w:lang w:val="en-US" w:eastAsia="zh-CN"/>
        </w:rPr>
        <w:t>公司（加盖鲜章）：</w:t>
      </w:r>
    </w:p>
    <w:p>
      <w:pPr>
        <w:jc w:val="left"/>
        <w:rPr>
          <w:rFonts w:hint="eastAsia"/>
          <w:b/>
          <w:sz w:val="28"/>
          <w:szCs w:val="28"/>
          <w:lang w:val="en-US" w:eastAsia="zh-CN"/>
        </w:rPr>
      </w:pPr>
      <w:r>
        <w:rPr>
          <w:rFonts w:hint="eastAsia"/>
          <w:b/>
          <w:sz w:val="28"/>
          <w:szCs w:val="28"/>
          <w:lang w:val="en-US" w:eastAsia="zh-CN"/>
        </w:rPr>
        <w:t>地址：</w:t>
      </w:r>
    </w:p>
    <w:p>
      <w:pPr>
        <w:jc w:val="left"/>
        <w:rPr>
          <w:rFonts w:hint="eastAsia"/>
          <w:b/>
          <w:sz w:val="28"/>
          <w:szCs w:val="28"/>
          <w:lang w:val="en-US" w:eastAsia="zh-CN"/>
        </w:rPr>
      </w:pPr>
      <w:r>
        <w:rPr>
          <w:rFonts w:hint="eastAsia"/>
          <w:b/>
          <w:sz w:val="28"/>
          <w:szCs w:val="28"/>
          <w:lang w:val="en-US" w:eastAsia="zh-CN"/>
        </w:rPr>
        <w:t>联系人：</w:t>
      </w:r>
    </w:p>
    <w:p>
      <w:pPr>
        <w:jc w:val="left"/>
        <w:rPr>
          <w:rFonts w:hint="eastAsia"/>
          <w:b/>
          <w:sz w:val="28"/>
          <w:szCs w:val="28"/>
          <w:lang w:val="en-US" w:eastAsia="zh-CN"/>
        </w:rPr>
      </w:pPr>
      <w:r>
        <w:rPr>
          <w:rFonts w:hint="eastAsia"/>
          <w:b/>
          <w:sz w:val="28"/>
          <w:szCs w:val="28"/>
          <w:lang w:val="en-US" w:eastAsia="zh-CN"/>
        </w:rPr>
        <w:t>电话：</w:t>
      </w:r>
    </w:p>
    <w:p>
      <w:pPr>
        <w:jc w:val="left"/>
        <w:rPr>
          <w:rFonts w:hint="eastAsia"/>
          <w:b/>
          <w:sz w:val="28"/>
          <w:szCs w:val="28"/>
          <w:lang w:val="en-US" w:eastAsia="zh-CN"/>
        </w:rPr>
      </w:pPr>
    </w:p>
    <w:p>
      <w:pPr>
        <w:jc w:val="left"/>
        <w:rPr>
          <w:rFonts w:hint="eastAsia"/>
          <w:b/>
          <w:sz w:val="28"/>
          <w:szCs w:val="28"/>
          <w:lang w:val="en-US" w:eastAsia="zh-CN"/>
        </w:rPr>
      </w:pPr>
      <w:r>
        <w:rPr>
          <w:rFonts w:hint="eastAsia"/>
          <w:b/>
          <w:sz w:val="28"/>
          <w:szCs w:val="28"/>
          <w:lang w:val="en-US" w:eastAsia="zh-CN"/>
        </w:rPr>
        <w:t>教育云平台管理系统参数：</w:t>
      </w:r>
    </w:p>
    <w:tbl>
      <w:tblPr>
        <w:tblStyle w:val="6"/>
        <w:tblpPr w:leftFromText="180" w:rightFromText="180" w:vertAnchor="text" w:horzAnchor="margin" w:tblpXSpec="center" w:tblpY="366"/>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51"/>
        <w:gridCol w:w="7195"/>
        <w:gridCol w:w="567"/>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426"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851" w:type="dxa"/>
            <w:vAlign w:val="center"/>
          </w:tcPr>
          <w:p>
            <w:pPr>
              <w:jc w:val="center"/>
              <w:rPr>
                <w:rFonts w:asciiTheme="minorEastAsia" w:hAnsiTheme="minorEastAsia"/>
                <w:szCs w:val="21"/>
              </w:rPr>
            </w:pPr>
            <w:r>
              <w:rPr>
                <w:rFonts w:hint="eastAsia" w:asciiTheme="minorEastAsia" w:hAnsiTheme="minorEastAsia"/>
                <w:szCs w:val="21"/>
              </w:rPr>
              <w:t>产品</w:t>
            </w:r>
          </w:p>
          <w:p>
            <w:pPr>
              <w:jc w:val="center"/>
              <w:rPr>
                <w:rFonts w:asciiTheme="minorEastAsia" w:hAnsiTheme="minorEastAsia"/>
                <w:szCs w:val="21"/>
              </w:rPr>
            </w:pPr>
            <w:r>
              <w:rPr>
                <w:rFonts w:hint="eastAsia" w:asciiTheme="minorEastAsia" w:hAnsiTheme="minorEastAsia"/>
                <w:szCs w:val="21"/>
              </w:rPr>
              <w:t>名称</w:t>
            </w:r>
          </w:p>
        </w:tc>
        <w:tc>
          <w:tcPr>
            <w:tcW w:w="7195" w:type="dxa"/>
            <w:vAlign w:val="center"/>
          </w:tcPr>
          <w:p>
            <w:pPr>
              <w:jc w:val="center"/>
              <w:rPr>
                <w:rFonts w:asciiTheme="minorEastAsia" w:hAnsiTheme="minorEastAsia"/>
                <w:szCs w:val="21"/>
              </w:rPr>
            </w:pPr>
            <w:r>
              <w:rPr>
                <w:rFonts w:hint="eastAsia" w:asciiTheme="minorEastAsia" w:hAnsiTheme="minorEastAsia"/>
                <w:szCs w:val="21"/>
              </w:rPr>
              <w:t>技术标准</w:t>
            </w:r>
          </w:p>
        </w:tc>
        <w:tc>
          <w:tcPr>
            <w:tcW w:w="567" w:type="dxa"/>
            <w:vAlign w:val="center"/>
          </w:tcPr>
          <w:p>
            <w:pPr>
              <w:jc w:val="center"/>
              <w:rPr>
                <w:rFonts w:asciiTheme="minorEastAsia" w:hAnsiTheme="minorEastAsia"/>
                <w:szCs w:val="21"/>
              </w:rPr>
            </w:pPr>
            <w:r>
              <w:rPr>
                <w:rFonts w:hint="eastAsia" w:asciiTheme="minorEastAsia" w:hAnsiTheme="minorEastAsia"/>
                <w:szCs w:val="21"/>
              </w:rPr>
              <w:t>数量</w:t>
            </w:r>
          </w:p>
        </w:tc>
        <w:tc>
          <w:tcPr>
            <w:tcW w:w="850" w:type="dxa"/>
            <w:vAlign w:val="center"/>
          </w:tcPr>
          <w:p>
            <w:pPr>
              <w:jc w:val="center"/>
              <w:rPr>
                <w:rFonts w:asciiTheme="minorEastAsia" w:hAnsiTheme="minorEastAsia"/>
                <w:szCs w:val="21"/>
              </w:rPr>
            </w:pPr>
            <w:r>
              <w:rPr>
                <w:rFonts w:hint="eastAsia" w:asciiTheme="minorEastAsia" w:hAnsiTheme="minorEastAsia"/>
                <w:szCs w:val="21"/>
              </w:rPr>
              <w:t>单价</w:t>
            </w:r>
          </w:p>
        </w:tc>
        <w:tc>
          <w:tcPr>
            <w:tcW w:w="851" w:type="dxa"/>
            <w:vAlign w:val="center"/>
          </w:tcPr>
          <w:p>
            <w:pPr>
              <w:jc w:val="center"/>
              <w:rPr>
                <w:rFonts w:asciiTheme="minorEastAsia" w:hAnsiTheme="minorEastAsia"/>
                <w:szCs w:val="21"/>
              </w:rPr>
            </w:pPr>
            <w:r>
              <w:rPr>
                <w:rFonts w:hint="eastAsia" w:asciiTheme="minorEastAsia" w:hAnsiTheme="minorEastAsia"/>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26" w:type="dxa"/>
            <w:vAlign w:val="center"/>
          </w:tcPr>
          <w:p>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1</w:t>
            </w:r>
          </w:p>
        </w:tc>
        <w:tc>
          <w:tcPr>
            <w:tcW w:w="851" w:type="dxa"/>
            <w:vAlign w:val="center"/>
          </w:tcPr>
          <w:p>
            <w:pPr>
              <w:jc w:val="center"/>
              <w:rPr>
                <w:rFonts w:asciiTheme="minorEastAsia" w:hAnsiTheme="minorEastAsia"/>
                <w:szCs w:val="21"/>
              </w:rPr>
            </w:pPr>
            <w:r>
              <w:rPr>
                <w:rFonts w:hint="eastAsia" w:asciiTheme="minorEastAsia" w:hAnsiTheme="minorEastAsia"/>
                <w:szCs w:val="21"/>
              </w:rPr>
              <w:t>教育云平台管理系统</w:t>
            </w:r>
          </w:p>
        </w:tc>
        <w:tc>
          <w:tcPr>
            <w:tcW w:w="7195" w:type="dxa"/>
            <w:vAlign w:val="center"/>
          </w:tcPr>
          <w:p>
            <w:pPr>
              <w:jc w:val="left"/>
              <w:rPr>
                <w:rFonts w:ascii="Times New Roman" w:hAnsi="Times New Roman" w:cs="Times New Roman"/>
                <w:b/>
                <w:bCs/>
                <w:kern w:val="0"/>
                <w:sz w:val="18"/>
                <w:szCs w:val="18"/>
              </w:rPr>
            </w:pPr>
            <w:r>
              <w:rPr>
                <w:rFonts w:hint="eastAsia" w:ascii="Times New Roman" w:hAnsi="Times New Roman" w:eastAsia="宋体" w:cs="Times New Roman"/>
                <w:b/>
                <w:bCs/>
                <w:kern w:val="0"/>
                <w:sz w:val="18"/>
                <w:szCs w:val="18"/>
              </w:rPr>
              <w:t>教育云平台</w:t>
            </w:r>
            <w:r>
              <w:rPr>
                <w:rFonts w:hint="eastAsia" w:ascii="Times New Roman" w:hAnsi="Times New Roman" w:cs="Times New Roman"/>
                <w:b/>
                <w:bCs/>
                <w:kern w:val="0"/>
                <w:sz w:val="18"/>
                <w:szCs w:val="18"/>
              </w:rPr>
              <w:t>:</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1. 用户管理：</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支持新增或EXCEL模板导入学生、老师、家长数据；学生数据至少包含学号、性别、名族、出生日期，支持根据学生姓名或帐号进行学生搜索、分配班级；教师数据至少包含老师的姓名、工号、身份证、手机、职务信息；家长数据至少包含家长名字、帐号、手机号，并根据手机号码与子女建立关联关系。</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2. 用户授权：</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系统能对角色进行管理，能对学生、教师、家长、管理者分配相应的角色并设置。</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3. 基础数据：</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支持对行政区域、教育机构、学校、班级、学段、学期、学科、知识点、教材、课程、职务进行管理；能按照实际教学进行自动学年升级。</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4. 学生及班级管理</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支持“传统教学”和“走班制”及分层教学多种模式，能对学生进行分班、指定班主任或导师。</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5. 资源部分：</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公共资源库：需提供大于700万试题的试题资源库及大于80万课件的课件资源库作为共享的公共资源，所有资源适用于K12各个学段及教材版本，并支持教师进行资源的收藏与下载；校本资源库：系统提供资源平台支持学校构建校本资源库，并支持教师从校本资源库中进行资源的收藏与下载；个人资源库：支持教师管理个人资源，并能对自己的资源进行共享；系统有严格的资源评价及资源审核机制；题库资源具有按难度及知识点分类，至少包含单选题、多选题、排序题、连线题、填空题、主观题六种题型。</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6. 教师空间</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教师消息：可以在空间查看及发布消息通知；我的班级：查看班级的学生学业情况、查看班级的交流讨论，并可针对性的进行留言回复；在线交流：支持学生、家长、老师进行在线交楼及讨论；微课程：老师能通过平台建立微课并支持分层发布及批阅微课程检测，提供相应统计分析报表；作业平台：教师可以建立、发布、批阅、辅导作业，支持分层发布作业，提供作业相关报表；课堂报告：提供课堂数据查询分析，课堂数据至少包含课堂板书、课堂互动数据、考勤数据；备课查询：能查询和管理历史备课数据；我的云盘：为教师提供2G的云盘存储空间；家校共育：提供教师和家长沟通机制和学生请假审批。</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7. 学生空间:</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学生消息：查看家长、老师发送的消息；我班同学：查看班级同学列表，并支持和同学进行交流；我班动态：查看同学与同学、同学与老师之间的话题讨论；作业管理：在学生空间中可以完成老师布置的作业，每份作业需标识出作业的提交、教师的批阅情况，对批阅过的作业，可以查看每道题的得分，老师批阅详情，习题的标准答案、解析、辅导；我的学案：查看老师备课时使用的教学案资源；我的笔记：查看学生所有的笔记内容；错题本：按章节或按知识点展示学生所有的错题，每道错题支持学生查看正确解答，学生可已打印错题本中的错题内容。</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8. 设备管理后台</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对学生平板进行控制及管理，至少提供网络访问白名单、应用市场、平板操作日志平板定位、远程应用安装及卸载；教师终端管理；教室设备管理，至少提供AP管理、多媒体主机管理，设备条码制作和管理。</w:t>
            </w:r>
          </w:p>
          <w:p>
            <w:pPr>
              <w:jc w:val="left"/>
              <w:rPr>
                <w:rFonts w:ascii="Times New Roman" w:hAnsi="Times New Roman" w:cs="Times New Roman"/>
                <w:b/>
                <w:bCs/>
                <w:kern w:val="0"/>
                <w:sz w:val="18"/>
                <w:szCs w:val="18"/>
              </w:rPr>
            </w:pPr>
            <w:r>
              <w:rPr>
                <w:rFonts w:hint="eastAsia" w:ascii="Times New Roman" w:hAnsi="Times New Roman" w:cs="Times New Roman"/>
                <w:b/>
                <w:bCs/>
                <w:kern w:val="0"/>
                <w:sz w:val="18"/>
                <w:szCs w:val="18"/>
              </w:rPr>
              <w:t>助教系统:</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1. 课前备课</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提供课前备课及备课数据管理，备课数据至少包含课件、学习资源、互动习题。</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2. 课堂互动</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使用备课成果：老师上课时可以导入课前的备课成果，并按各环节的教学目标使用备课资源；</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讲解作业：老师在课堂中可以讲解在批阅时收藏的学生作业，讲解时可进行原笔迹书写；</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课中互动：交互软件能与液晶教学一体机设备无缝兼容，不需要任何修改的情况下能直接与PPT、Word、Excel、flash、IE等教学常用软件进行交互，老师不需要为交互软件单独备课，支持离线状态，当教室网络与外界断开时不影响课堂交互软件正常使用；</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课堂问答：不改变教学习惯、能兼容所有教学软件，覆盖客观、主观问题体型，能统计分析学生答题情况，讲评答案时能让学生在自己平板将自己的解题思路和步骤给大家讲解和演示分享，能对比点评；</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课堂练习：电子试卷制作，支持电子试卷、纸质试卷练习和考试，覆盖全部题型、自动阅卷，支持弹性答题时间，强制收卷，试卷统计分析；</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小组学习：自由组合小组、成果点评、成果对比、递增式进行问题分析和学习；</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课堂评价：系统支持老师对学生的课堂行为进行群评、个体评价，系统记录教师的评价结果，该部分数据保留至云平台中；</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自由学习：老师发送指令学生能在老师的控制下进行资料查阅、课件查看、问题讨论等学习，同时老师能控制学生平板，进行继续讲授；</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课件传输：通过老师移动设备能将老师任意格式的课件传送给教学一体机或学生终端，并自动识别格式进行相关处理如放映、演示、执行等操作，如果发送的是系统自有格式的文件如试卷，系统自动识别，自动进入答题模式，自动阅卷；</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屏幕录制：老师在上课时，可以通过智慧课堂进行电子白板中所有的数据及对课堂音频进行采集并将结果保存为视频；</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屏幕管控：老师可以在课中进行锁屏，实现学生屏幕的管控；</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移动教学：老师无需局限在讲台周围，不改变教学习惯电子板书、课堂问答、课堂练习、小组学习、问题评讲、作业评讲、随机选号、学生抢答、收发作业、自由学习、电子教材、课堂消息等功能同时在液晶教学一体机和移动平板上操作，需要移动设备独有的如实物拍摄、课件传输、学生平板监控、课外备课、微课录制、PPT控制、电子教鞭等功能在移动设备上实现；</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数据保存：当教师下课时，系统自动将本堂课中的所有数据按章节目录上传至云平台，方便老师课后撰写教学反思、学生复习本堂课的学习内容；</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师手机助手：课堂提供在手机上上传文件到白板，拍照、摄像投影到白板，电子教鞭功能，提供作业、微课快速布置及批改、PPT翻页。</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屏幕广播：学生在课堂中能通过移动终端查看教室白板画面，并能进行缩放；</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3. 课后作业：</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题库资源：布置作业时，可以通过慧道1000万题库中筛选试题、也可以从校本题库中挑选我校自己构建的校本试题，同时支持教师上传自命题；</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出题方式：支持随机出题、手动选题、随机选题+手动选题方式，对于手动选题，采用按章节或知识点、按题型、难度、按考察范围进行试题过滤筛选；</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试题题型：支持单选题、多选题、排序题、连线题、填空题、主观题六种题型；作业批阅：需实现客观题自动批阅的同时，为教师提供了逐人和逐题的两种主观题批阅方式，在批阅的过程中 教师可以进行原笔迹书写、手势操作、作业评分、作业收藏、标准答案与解析的查看；</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分层作业：老师在布置作业时，可选择将本作业发给班级、按学生进行发布、跨班发布、跨班发布给学学生;指定重做：老师在批阅作业时，可指定学生重做本题；制作微辅导：对错误率较高的练习题，老师可以选择录制一个本题解法的微辅导，并发送至本作业相关学生；</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作业统计：教师可查看本次作业的提交情况，以及每道习题的答题情况，系统根据学生的答题情况自动计算作业的难度系数。</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4. 资源管理：</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支持题库资源、个人资源的建立及管理，能对资源进行评价、分享、审核。</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5. 教师云盘：</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慧道云平台为教师提供私人存储空间（云盘），方便老师进行私人数据的存储。</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6. 网络管控</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管理和控制教室无线网络设备、学生终端网络访问、学生终端互动操作。</w:t>
            </w:r>
          </w:p>
          <w:p>
            <w:pPr>
              <w:jc w:val="left"/>
              <w:rPr>
                <w:rFonts w:ascii="Times New Roman" w:hAnsi="Times New Roman" w:cs="Times New Roman"/>
                <w:b/>
                <w:bCs/>
                <w:kern w:val="0"/>
                <w:sz w:val="18"/>
                <w:szCs w:val="18"/>
              </w:rPr>
            </w:pPr>
            <w:r>
              <w:rPr>
                <w:rFonts w:hint="eastAsia" w:ascii="Times New Roman" w:hAnsi="Times New Roman" w:cs="Times New Roman"/>
                <w:b/>
                <w:bCs/>
                <w:kern w:val="0"/>
                <w:sz w:val="18"/>
                <w:szCs w:val="18"/>
              </w:rPr>
              <w:t>学生学习系统:</w:t>
            </w:r>
          </w:p>
          <w:p>
            <w:pPr>
              <w:numPr>
                <w:ilvl w:val="0"/>
                <w:numId w:val="1"/>
              </w:numPr>
              <w:jc w:val="left"/>
              <w:rPr>
                <w:rFonts w:ascii="Times New Roman" w:hAnsi="Times New Roman" w:cs="Times New Roman"/>
                <w:kern w:val="0"/>
                <w:sz w:val="18"/>
                <w:szCs w:val="18"/>
              </w:rPr>
            </w:pPr>
            <w:r>
              <w:rPr>
                <w:rFonts w:hint="eastAsia" w:ascii="Times New Roman" w:hAnsi="Times New Roman" w:cs="Times New Roman"/>
                <w:kern w:val="0"/>
                <w:sz w:val="18"/>
                <w:szCs w:val="18"/>
              </w:rPr>
              <w:t>支持Android、windows、Ios平台</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2. 微课程学习：</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通过学生PAD完成老师布置的微课程作业，微课程学习包括微课程视频的查看、微课程的习题作答、微课程课件浏览</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3. 课堂互动：</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参与老师发起的课堂互动，并可主动申请课堂互动请求，能参与投票、抢答、检测，课堂考试。</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4. 课后作业：</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通过原笔迹书写、拍照、语音方式作答方式完成课后作业、课堂未完成的检测，查看作业、检测、考试老师的批阅、辅导、解析并生成错题集。</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5. 错题本：</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自动收录学生学习过程中的错题，并支持学生手动添加错题至错题本；学生可将错题导出至word或直接打印错题，在打印时，学生可以设置打印纸张大小，或是否打印错题的答案。</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6. 笔记：</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课堂笔记推送、课外笔记、课堂回顾笔记、能分享，整理归档，快速检索；</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7. 设备管理：</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系统管控学生设备，随机监控学生的平板应用安装；提供学生设备管理方案：为学生设备制作条码，通过条码，可查询学生设备信息、应用安装信息</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8、学生学习训练：</w:t>
            </w:r>
          </w:p>
          <w:p>
            <w:pPr>
              <w:jc w:val="left"/>
              <w:rPr>
                <w:rFonts w:ascii="Times New Roman" w:hAnsi="Times New Roman" w:cs="Times New Roman"/>
                <w:kern w:val="0"/>
                <w:sz w:val="18"/>
                <w:szCs w:val="18"/>
              </w:rPr>
            </w:pPr>
            <w:r>
              <w:rPr>
                <w:rFonts w:hint="eastAsia" w:ascii="Times New Roman" w:hAnsi="Times New Roman" w:cs="Times New Roman"/>
                <w:kern w:val="0"/>
                <w:sz w:val="18"/>
                <w:szCs w:val="18"/>
              </w:rPr>
              <w:t>采用游戏化方式对知识点进行进阶式训练，并提供知识掌握地图。</w:t>
            </w:r>
          </w:p>
        </w:tc>
        <w:tc>
          <w:tcPr>
            <w:tcW w:w="567" w:type="dxa"/>
            <w:vAlign w:val="center"/>
          </w:tcPr>
          <w:p>
            <w:pPr>
              <w:jc w:val="center"/>
              <w:rPr>
                <w:rFonts w:asciiTheme="minorEastAsia" w:hAnsiTheme="minorEastAsia"/>
                <w:szCs w:val="21"/>
              </w:rPr>
            </w:pPr>
            <w:r>
              <w:rPr>
                <w:rFonts w:hint="eastAsia" w:asciiTheme="minorEastAsia" w:hAnsiTheme="minorEastAsia"/>
                <w:szCs w:val="21"/>
              </w:rPr>
              <w:t>套</w:t>
            </w:r>
          </w:p>
        </w:tc>
        <w:tc>
          <w:tcPr>
            <w:tcW w:w="850"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472" w:type="dxa"/>
            <w:gridSpan w:val="3"/>
            <w:vAlign w:val="center"/>
          </w:tcPr>
          <w:p>
            <w:pPr>
              <w:jc w:val="center"/>
              <w:rPr>
                <w:rFonts w:hint="eastAsia" w:ascii="Times New Roman" w:hAnsi="Times New Roman" w:eastAsia="宋体" w:cs="Times New Roman"/>
                <w:b w:val="0"/>
                <w:bCs w:val="0"/>
                <w:kern w:val="0"/>
                <w:sz w:val="18"/>
                <w:szCs w:val="18"/>
                <w:lang w:val="en-US" w:eastAsia="zh-CN"/>
              </w:rPr>
            </w:pPr>
            <w:bookmarkStart w:id="0" w:name="_GoBack" w:colFirst="0" w:colLast="2"/>
            <w:r>
              <w:rPr>
                <w:rFonts w:hint="eastAsia" w:ascii="Times New Roman" w:hAnsi="Times New Roman" w:eastAsia="宋体" w:cs="Times New Roman"/>
                <w:b w:val="0"/>
                <w:bCs w:val="0"/>
                <w:kern w:val="0"/>
                <w:sz w:val="18"/>
                <w:szCs w:val="18"/>
                <w:lang w:val="en-US" w:eastAsia="zh-CN"/>
              </w:rPr>
              <w:t>合计</w:t>
            </w:r>
          </w:p>
        </w:tc>
        <w:tc>
          <w:tcPr>
            <w:tcW w:w="567" w:type="dxa"/>
            <w:vAlign w:val="center"/>
          </w:tcPr>
          <w:p>
            <w:pPr>
              <w:jc w:val="center"/>
              <w:rPr>
                <w:rFonts w:asciiTheme="minorEastAsia" w:hAnsiTheme="minorEastAsia"/>
                <w:szCs w:val="21"/>
              </w:rPr>
            </w:pPr>
          </w:p>
        </w:tc>
        <w:tc>
          <w:tcPr>
            <w:tcW w:w="850" w:type="dxa"/>
            <w:vAlign w:val="center"/>
          </w:tcPr>
          <w:p>
            <w:pPr>
              <w:jc w:val="center"/>
              <w:rPr>
                <w:rFonts w:asciiTheme="minorEastAsia" w:hAnsiTheme="minorEastAsia"/>
                <w:szCs w:val="21"/>
              </w:rPr>
            </w:pPr>
          </w:p>
        </w:tc>
        <w:tc>
          <w:tcPr>
            <w:tcW w:w="851"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472" w:type="dxa"/>
            <w:gridSpan w:val="3"/>
            <w:vAlign w:val="center"/>
          </w:tcPr>
          <w:p>
            <w:pPr>
              <w:jc w:val="center"/>
              <w:rPr>
                <w:rFonts w:hint="eastAsia" w:ascii="Times New Roman" w:hAnsi="Times New Roman" w:eastAsia="宋体" w:cs="Times New Roman"/>
                <w:b w:val="0"/>
                <w:bCs w:val="0"/>
                <w:kern w:val="0"/>
                <w:sz w:val="18"/>
                <w:szCs w:val="18"/>
                <w:lang w:val="en-US" w:eastAsia="zh-CN"/>
              </w:rPr>
            </w:pPr>
            <w:r>
              <w:rPr>
                <w:rFonts w:hint="eastAsia" w:ascii="Times New Roman" w:hAnsi="Times New Roman" w:eastAsia="宋体" w:cs="Times New Roman"/>
                <w:b w:val="0"/>
                <w:bCs w:val="0"/>
                <w:kern w:val="0"/>
                <w:sz w:val="18"/>
                <w:szCs w:val="18"/>
                <w:lang w:val="en-US" w:eastAsia="zh-CN"/>
              </w:rPr>
              <w:t>总价：人民币（大写）</w:t>
            </w:r>
          </w:p>
        </w:tc>
        <w:tc>
          <w:tcPr>
            <w:tcW w:w="567" w:type="dxa"/>
            <w:vAlign w:val="center"/>
          </w:tcPr>
          <w:p>
            <w:pPr>
              <w:jc w:val="center"/>
              <w:rPr>
                <w:rFonts w:asciiTheme="minorEastAsia" w:hAnsiTheme="minorEastAsia"/>
                <w:szCs w:val="21"/>
              </w:rPr>
            </w:pPr>
          </w:p>
        </w:tc>
        <w:tc>
          <w:tcPr>
            <w:tcW w:w="850" w:type="dxa"/>
            <w:vAlign w:val="center"/>
          </w:tcPr>
          <w:p>
            <w:pPr>
              <w:jc w:val="center"/>
              <w:rPr>
                <w:rFonts w:asciiTheme="minorEastAsia" w:hAnsiTheme="minorEastAsia"/>
                <w:szCs w:val="21"/>
              </w:rPr>
            </w:pPr>
          </w:p>
        </w:tc>
        <w:tc>
          <w:tcPr>
            <w:tcW w:w="851" w:type="dxa"/>
            <w:vAlign w:val="center"/>
          </w:tcPr>
          <w:p>
            <w:pPr>
              <w:jc w:val="center"/>
              <w:rPr>
                <w:rFonts w:hint="eastAsia" w:asciiTheme="minorEastAsia" w:hAnsiTheme="minorEastAsia"/>
                <w:szCs w:val="21"/>
              </w:rPr>
            </w:pPr>
          </w:p>
        </w:tc>
      </w:tr>
      <w:bookmarkEnd w:id="0"/>
    </w:tbl>
    <w:p>
      <w:pPr>
        <w:tabs>
          <w:tab w:val="left" w:pos="1069"/>
        </w:tabs>
        <w:rPr>
          <w:b/>
          <w:sz w:val="28"/>
          <w:szCs w:val="28"/>
        </w:rPr>
      </w:pPr>
      <w:r>
        <w:rPr>
          <w:b/>
          <w:sz w:val="28"/>
          <w:szCs w:val="28"/>
        </w:rPr>
        <w:tab/>
      </w:r>
    </w:p>
    <w:sectPr>
      <w:pgSz w:w="11906" w:h="16838"/>
      <w:pgMar w:top="1440" w:right="1800"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CA040"/>
    <w:multiLevelType w:val="singleLevel"/>
    <w:tmpl w:val="57FCA04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A1E03"/>
    <w:rsid w:val="000D567D"/>
    <w:rsid w:val="00122055"/>
    <w:rsid w:val="001A1E03"/>
    <w:rsid w:val="001A329E"/>
    <w:rsid w:val="001B7903"/>
    <w:rsid w:val="00246A25"/>
    <w:rsid w:val="002A2E77"/>
    <w:rsid w:val="002C6527"/>
    <w:rsid w:val="00386BC1"/>
    <w:rsid w:val="003F0CC1"/>
    <w:rsid w:val="003F214B"/>
    <w:rsid w:val="0042262D"/>
    <w:rsid w:val="004500E6"/>
    <w:rsid w:val="00476D75"/>
    <w:rsid w:val="004B7D65"/>
    <w:rsid w:val="004E0349"/>
    <w:rsid w:val="00560E2F"/>
    <w:rsid w:val="005B0C2E"/>
    <w:rsid w:val="005C62E1"/>
    <w:rsid w:val="005F444D"/>
    <w:rsid w:val="0062060A"/>
    <w:rsid w:val="00762CE9"/>
    <w:rsid w:val="007A372D"/>
    <w:rsid w:val="007B78FC"/>
    <w:rsid w:val="007F0FE4"/>
    <w:rsid w:val="007F3A38"/>
    <w:rsid w:val="00823DDA"/>
    <w:rsid w:val="008337CD"/>
    <w:rsid w:val="00856F39"/>
    <w:rsid w:val="0087014C"/>
    <w:rsid w:val="008A28F6"/>
    <w:rsid w:val="008E3BDE"/>
    <w:rsid w:val="00921BE9"/>
    <w:rsid w:val="009D32A0"/>
    <w:rsid w:val="00A56A14"/>
    <w:rsid w:val="00A60CC8"/>
    <w:rsid w:val="00A65176"/>
    <w:rsid w:val="00AB4163"/>
    <w:rsid w:val="00AB5B6F"/>
    <w:rsid w:val="00B42FAB"/>
    <w:rsid w:val="00B73489"/>
    <w:rsid w:val="00D2657B"/>
    <w:rsid w:val="00D53B39"/>
    <w:rsid w:val="00D83477"/>
    <w:rsid w:val="00EB2895"/>
    <w:rsid w:val="00EF0A83"/>
    <w:rsid w:val="00EF7A54"/>
    <w:rsid w:val="00FD0C0E"/>
    <w:rsid w:val="4106133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28020-6E8E-4983-BA98-FDC695A870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672</Words>
  <Characters>3833</Characters>
  <Lines>31</Lines>
  <Paragraphs>8</Paragraphs>
  <ScaleCrop>false</ScaleCrop>
  <LinksUpToDate>false</LinksUpToDate>
  <CharactersWithSpaces>4497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2016-10-13T03:18:00Z</dcterms:created>
  <dc:creator>jiming wang</dc:creator>
  <cp:lastModifiedBy>Administrator</cp:lastModifiedBy>
  <dcterms:modified xsi:type="dcterms:W3CDTF">2016-10-17T04:47:52Z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